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4B5" w:rsidRDefault="0040435F">
      <w:pPr>
        <w:pStyle w:val="Capadottulo"/>
      </w:pPr>
      <w:r w:rsidRPr="00303B23">
        <w:rPr>
          <w:noProof/>
        </w:rPr>
        <w:drawing>
          <wp:inline distT="0" distB="0" distL="0" distR="0">
            <wp:extent cx="5662930" cy="1388110"/>
            <wp:effectExtent l="0" t="0" r="0" b="0"/>
            <wp:docPr id="29" name="Imagem 29" descr="C:\Users\luizc\Downloads\logo-300x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luizc\Downloads\logo-300x8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2930" cy="1388110"/>
                    </a:xfrm>
                    <a:prstGeom prst="rect">
                      <a:avLst/>
                    </a:prstGeom>
                    <a:noFill/>
                    <a:ln>
                      <a:noFill/>
                    </a:ln>
                  </pic:spPr>
                </pic:pic>
              </a:graphicData>
            </a:graphic>
          </wp:inline>
        </w:drawing>
      </w:r>
    </w:p>
    <w:p w:rsidR="00F174B5" w:rsidRDefault="00F174B5">
      <w:pPr>
        <w:pStyle w:val="Capadottulo"/>
      </w:pPr>
    </w:p>
    <w:p w:rsidR="00F174B5" w:rsidRDefault="00F174B5">
      <w:pPr>
        <w:pStyle w:val="Capadottulo"/>
      </w:pPr>
    </w:p>
    <w:p w:rsidR="00B14162" w:rsidRDefault="00B14162">
      <w:pPr>
        <w:pStyle w:val="Capadottulo"/>
        <w:rPr>
          <w:rFonts w:ascii="Arial" w:hAnsi="Arial" w:cs="Arial"/>
          <w:sz w:val="32"/>
          <w:szCs w:val="32"/>
        </w:rPr>
      </w:pPr>
      <w:r>
        <w:rPr>
          <w:rFonts w:ascii="Arial" w:hAnsi="Arial" w:cs="Arial"/>
          <w:sz w:val="32"/>
          <w:szCs w:val="32"/>
        </w:rPr>
        <w:t>modernização do setor el</w:t>
      </w:r>
      <w:r w:rsidR="00303B23">
        <w:rPr>
          <w:rFonts w:ascii="Arial" w:hAnsi="Arial" w:cs="Arial"/>
          <w:sz w:val="32"/>
          <w:szCs w:val="32"/>
        </w:rPr>
        <w:t>étrico</w:t>
      </w:r>
    </w:p>
    <w:p w:rsidR="00F174B5" w:rsidRPr="00B14162" w:rsidRDefault="00B14162">
      <w:pPr>
        <w:pStyle w:val="Capadottulo"/>
        <w:rPr>
          <w:rFonts w:ascii="Arial" w:hAnsi="Arial" w:cs="Arial"/>
          <w:sz w:val="32"/>
          <w:szCs w:val="32"/>
        </w:rPr>
      </w:pPr>
      <w:r w:rsidRPr="00B14162">
        <w:rPr>
          <w:rFonts w:ascii="Arial" w:hAnsi="Arial" w:cs="Arial"/>
          <w:sz w:val="32"/>
          <w:szCs w:val="32"/>
        </w:rPr>
        <w:t xml:space="preserve">contribuição sobre o critério de </w:t>
      </w:r>
      <w:r w:rsidR="00CF440C">
        <w:rPr>
          <w:rFonts w:ascii="Arial" w:hAnsi="Arial" w:cs="Arial"/>
          <w:sz w:val="32"/>
          <w:szCs w:val="32"/>
        </w:rPr>
        <w:t xml:space="preserve">garantia de </w:t>
      </w:r>
      <w:r w:rsidRPr="00B14162">
        <w:rPr>
          <w:rFonts w:ascii="Arial" w:hAnsi="Arial" w:cs="Arial"/>
          <w:sz w:val="32"/>
          <w:szCs w:val="32"/>
        </w:rPr>
        <w:t xml:space="preserve">suprimento </w:t>
      </w:r>
    </w:p>
    <w:p w:rsidR="00F174B5" w:rsidRDefault="00F174B5">
      <w:pPr>
        <w:pStyle w:val="Capadosubttulo"/>
      </w:pPr>
    </w:p>
    <w:p w:rsidR="00F174B5" w:rsidRDefault="00F174B5">
      <w:pPr>
        <w:pStyle w:val="Corpodetexto"/>
      </w:pPr>
    </w:p>
    <w:p w:rsidR="00F174B5" w:rsidRDefault="00F174B5">
      <w:pPr>
        <w:pStyle w:val="Corpodetexto"/>
      </w:pPr>
    </w:p>
    <w:p w:rsidR="00F174B5" w:rsidRDefault="00F174B5">
      <w:pPr>
        <w:pStyle w:val="Corpodetexto"/>
      </w:pPr>
    </w:p>
    <w:p w:rsidR="00F174B5" w:rsidRDefault="00F174B5">
      <w:pPr>
        <w:pStyle w:val="Corpodetexto"/>
      </w:pPr>
    </w:p>
    <w:p w:rsidR="00F174B5" w:rsidRDefault="00F174B5">
      <w:pPr>
        <w:pStyle w:val="Corpodetexto"/>
      </w:pPr>
    </w:p>
    <w:p w:rsidR="00F174B5" w:rsidRDefault="00B14162">
      <w:pPr>
        <w:pStyle w:val="Corpodetexto"/>
        <w:jc w:val="center"/>
        <w:rPr>
          <w:rFonts w:ascii="Arial" w:hAnsi="Arial"/>
          <w:b w:val="0"/>
          <w:sz w:val="36"/>
        </w:rPr>
      </w:pPr>
      <w:r>
        <w:rPr>
          <w:rFonts w:ascii="Arial" w:hAnsi="Arial"/>
          <w:b w:val="0"/>
          <w:sz w:val="36"/>
        </w:rPr>
        <w:t>Luiz Claudio Gutierrez Duarte</w:t>
      </w:r>
    </w:p>
    <w:p w:rsidR="00B14162" w:rsidRDefault="00B14162">
      <w:pPr>
        <w:pStyle w:val="Corpodetexto"/>
        <w:jc w:val="center"/>
        <w:rPr>
          <w:rFonts w:ascii="Arial" w:hAnsi="Arial"/>
          <w:b w:val="0"/>
          <w:sz w:val="36"/>
        </w:rPr>
      </w:pPr>
    </w:p>
    <w:p w:rsidR="00B14162" w:rsidRDefault="00B14162">
      <w:pPr>
        <w:pStyle w:val="Corpodetexto"/>
        <w:jc w:val="center"/>
        <w:rPr>
          <w:rFonts w:ascii="Arial" w:hAnsi="Arial"/>
          <w:b w:val="0"/>
          <w:sz w:val="36"/>
        </w:rPr>
        <w:sectPr w:rsidR="00B14162">
          <w:headerReference w:type="default" r:id="rId9"/>
          <w:footerReference w:type="even" r:id="rId10"/>
          <w:footerReference w:type="default" r:id="rId11"/>
          <w:pgSz w:w="12240" w:h="15840"/>
          <w:pgMar w:top="1417" w:right="1701" w:bottom="1417" w:left="1701" w:header="720" w:footer="720" w:gutter="0"/>
          <w:pgNumType w:start="1"/>
          <w:cols w:space="720"/>
          <w:titlePg/>
        </w:sectPr>
      </w:pPr>
      <w:r>
        <w:rPr>
          <w:rFonts w:ascii="Arial" w:hAnsi="Arial"/>
          <w:b w:val="0"/>
          <w:sz w:val="36"/>
        </w:rPr>
        <w:t>Rio de Janeiro – 15/08/201</w:t>
      </w:r>
      <w:r w:rsidR="001318DB">
        <w:rPr>
          <w:rFonts w:ascii="Arial" w:hAnsi="Arial"/>
          <w:b w:val="0"/>
          <w:sz w:val="36"/>
        </w:rPr>
        <w:t>9</w:t>
      </w:r>
    </w:p>
    <w:p w:rsidR="00F174B5" w:rsidRPr="00CF440C" w:rsidRDefault="00F16A09" w:rsidP="0040435F">
      <w:pPr>
        <w:pStyle w:val="Ttulo1"/>
        <w:rPr>
          <w:sz w:val="18"/>
          <w:szCs w:val="18"/>
        </w:rPr>
      </w:pPr>
      <w:bookmarkStart w:id="0" w:name="_Toc192868785"/>
      <w:bookmarkStart w:id="1" w:name="_Toc192868845"/>
      <w:bookmarkStart w:id="2" w:name="_Toc192937632"/>
      <w:r w:rsidRPr="00CF440C">
        <w:rPr>
          <w:sz w:val="18"/>
          <w:szCs w:val="18"/>
        </w:rPr>
        <w:lastRenderedPageBreak/>
        <w:t xml:space="preserve">1) </w:t>
      </w:r>
      <w:r w:rsidR="00F174B5" w:rsidRPr="00CF440C">
        <w:rPr>
          <w:sz w:val="18"/>
          <w:szCs w:val="18"/>
        </w:rPr>
        <w:t>INTRODUÇÃO</w:t>
      </w:r>
      <w:bookmarkEnd w:id="0"/>
      <w:bookmarkEnd w:id="1"/>
      <w:bookmarkEnd w:id="2"/>
    </w:p>
    <w:p w:rsidR="00F174B5" w:rsidRDefault="00F174B5">
      <w:pPr>
        <w:pStyle w:val="Corpodetexto"/>
        <w:spacing w:after="0"/>
        <w:ind w:firstLine="0"/>
        <w:jc w:val="left"/>
        <w:outlineLvl w:val="0"/>
        <w:rPr>
          <w:rFonts w:ascii="Arial" w:hAnsi="Arial"/>
        </w:rPr>
      </w:pPr>
    </w:p>
    <w:p w:rsidR="00F174B5" w:rsidRDefault="00303B23" w:rsidP="0099725C">
      <w:pPr>
        <w:pStyle w:val="Corpodetexto"/>
        <w:spacing w:after="0" w:line="360" w:lineRule="auto"/>
        <w:ind w:firstLine="0"/>
        <w:outlineLvl w:val="0"/>
        <w:rPr>
          <w:rFonts w:ascii="Arial" w:hAnsi="Arial" w:cs="Arial"/>
          <w:b w:val="0"/>
          <w:sz w:val="18"/>
          <w:szCs w:val="18"/>
          <w:lang w:val="es-ES"/>
          <w14:shadow w14:blurRad="0" w14:dist="0" w14:dir="0" w14:sx="0" w14:sy="0" w14:kx="0" w14:ky="0" w14:algn="none">
            <w14:srgbClr w14:val="000000"/>
          </w14:shadow>
        </w:rPr>
      </w:pPr>
      <w:r w:rsidRPr="00336BFC">
        <w:rPr>
          <w:rFonts w:ascii="Arial" w:hAnsi="Arial" w:cs="Arial"/>
          <w:b w:val="0"/>
          <w:sz w:val="18"/>
          <w:szCs w:val="18"/>
          <w14:shadow w14:blurRad="0" w14:dist="0" w14:dir="0" w14:sx="0" w14:sy="0" w14:kx="0" w14:ky="0" w14:algn="none">
            <w14:srgbClr w14:val="000000"/>
          </w14:shadow>
        </w:rPr>
        <w:t xml:space="preserve">Até o final do século passado a Indústria de Energia Elétrica Brasileira (IEEB) caracterizava-se como um sistema basicamente hidroelétrico, cuja regularização plurianual representava uma vantagem comparativa em relação a outros sistemas mundiais análogos. A singularidade deste sistema é resultado da complexidade de gestão do compartilhamento de uma reserva hídrica entre os diversos agentes. Além disso, a existência de um acoplamento temporal implicou na contínua preocupação dos tomadores de decisão (regulador, planejador, operador e demais agentes) </w:t>
      </w:r>
      <w:r w:rsidR="00873309" w:rsidRPr="00336BFC">
        <w:rPr>
          <w:rFonts w:ascii="Arial" w:hAnsi="Arial" w:cs="Arial"/>
          <w:b w:val="0"/>
          <w:sz w:val="18"/>
          <w:szCs w:val="18"/>
          <w14:shadow w14:blurRad="0" w14:dist="0" w14:dir="0" w14:sx="0" w14:sy="0" w14:kx="0" w14:ky="0" w14:algn="none">
            <w14:srgbClr w14:val="000000"/>
          </w14:shadow>
        </w:rPr>
        <w:t>no atendimento a</w:t>
      </w:r>
      <w:r w:rsidRPr="00336BFC">
        <w:rPr>
          <w:rFonts w:ascii="Arial" w:hAnsi="Arial" w:cs="Arial"/>
          <w:b w:val="0"/>
          <w:sz w:val="18"/>
          <w:szCs w:val="18"/>
          <w14:shadow w14:blurRad="0" w14:dist="0" w14:dir="0" w14:sx="0" w14:sy="0" w14:kx="0" w14:ky="0" w14:algn="none">
            <w14:srgbClr w14:val="000000"/>
          </w14:shadow>
        </w:rPr>
        <w:t>os consumidores atuais e potenciais pelo mínimo custo possível.</w:t>
      </w:r>
      <w:r w:rsidR="00873309" w:rsidRPr="00336BFC">
        <w:rPr>
          <w:rFonts w:ascii="Arial" w:hAnsi="Arial" w:cs="Arial"/>
          <w:b w:val="0"/>
          <w:sz w:val="18"/>
          <w:szCs w:val="18"/>
          <w14:shadow w14:blurRad="0" w14:dist="0" w14:dir="0" w14:sx="0" w14:sy="0" w14:kx="0" w14:ky="0" w14:algn="none">
            <w14:srgbClr w14:val="000000"/>
          </w14:shadow>
        </w:rPr>
        <w:t xml:space="preserve"> Tal função objetiva</w:t>
      </w:r>
      <w:r w:rsidRPr="00336BFC">
        <w:rPr>
          <w:rFonts w:ascii="Arial" w:hAnsi="Arial" w:cs="Arial"/>
          <w:b w:val="0"/>
          <w:sz w:val="18"/>
          <w:szCs w:val="18"/>
          <w14:shadow w14:blurRad="0" w14:dist="0" w14:dir="0" w14:sx="0" w14:sy="0" w14:kx="0" w14:ky="0" w14:algn="none">
            <w14:srgbClr w14:val="000000"/>
          </w14:shadow>
        </w:rPr>
        <w:t xml:space="preserve"> configura-se num problema de otimização estocástica d</w:t>
      </w:r>
      <w:r w:rsidR="00873309" w:rsidRPr="00336BFC">
        <w:rPr>
          <w:rFonts w:ascii="Arial" w:hAnsi="Arial" w:cs="Arial"/>
          <w:b w:val="0"/>
          <w:sz w:val="18"/>
          <w:szCs w:val="18"/>
          <w14:shadow w14:blurRad="0" w14:dist="0" w14:dir="0" w14:sx="0" w14:sy="0" w14:kx="0" w14:ky="0" w14:algn="none">
            <w14:srgbClr w14:val="000000"/>
          </w14:shadow>
        </w:rPr>
        <w:t>e grande porte cuja resolução tem sido</w:t>
      </w:r>
      <w:r w:rsidRPr="00336BFC">
        <w:rPr>
          <w:rFonts w:ascii="Arial" w:hAnsi="Arial" w:cs="Arial"/>
          <w:b w:val="0"/>
          <w:sz w:val="18"/>
          <w:szCs w:val="18"/>
          <w14:shadow w14:blurRad="0" w14:dist="0" w14:dir="0" w14:sx="0" w14:sy="0" w14:kx="0" w14:ky="0" w14:algn="none">
            <w14:srgbClr w14:val="000000"/>
          </w14:shadow>
        </w:rPr>
        <w:t xml:space="preserve"> acompanhada pela crescente evolução, por um lado, tecnológica e comercial da microinformática e, por outro lado, do uso de métodos e ferramentas matemáticas de apoio à decisão (computação evolucionária, programação matemática, séries temporais, teoria dos jogos, etc.). No tocante ao Planejamento </w:t>
      </w:r>
      <w:r w:rsidRPr="00336BFC">
        <w:rPr>
          <w:rFonts w:ascii="Arial" w:hAnsi="Arial" w:cs="Arial"/>
          <w:b w:val="0"/>
          <w:sz w:val="18"/>
          <w:szCs w:val="18"/>
          <w:lang w:val="es-ES"/>
          <w14:shadow w14:blurRad="0" w14:dist="0" w14:dir="0" w14:sx="0" w14:sy="0" w14:kx="0" w14:ky="0" w14:algn="none">
            <w14:srgbClr w14:val="000000"/>
          </w14:shadow>
        </w:rPr>
        <w:t>da</w:t>
      </w:r>
      <w:r w:rsidRPr="005F6BD3">
        <w:rPr>
          <w:rFonts w:ascii="Arial" w:hAnsi="Arial" w:cs="Arial"/>
          <w:b w:val="0"/>
          <w:sz w:val="18"/>
          <w:szCs w:val="18"/>
          <w14:shadow w14:blurRad="0" w14:dist="0" w14:dir="0" w14:sx="0" w14:sy="0" w14:kx="0" w14:ky="0" w14:algn="none">
            <w14:srgbClr w14:val="000000"/>
          </w14:shadow>
        </w:rPr>
        <w:t xml:space="preserve"> Expansão</w:t>
      </w:r>
      <w:r w:rsidRPr="00336BFC">
        <w:rPr>
          <w:rFonts w:ascii="Arial" w:hAnsi="Arial" w:cs="Arial"/>
          <w:b w:val="0"/>
          <w:sz w:val="18"/>
          <w:szCs w:val="18"/>
          <w:lang w:val="es-ES"/>
          <w14:shadow w14:blurRad="0" w14:dist="0" w14:dir="0" w14:sx="0" w14:sy="0" w14:kx="0" w14:ky="0" w14:algn="none">
            <w14:srgbClr w14:val="000000"/>
          </w14:shadow>
        </w:rPr>
        <w:t xml:space="preserve"> de</w:t>
      </w:r>
      <w:r w:rsidRPr="00DD6CAC">
        <w:rPr>
          <w:rFonts w:ascii="Arial" w:hAnsi="Arial" w:cs="Arial"/>
          <w:b w:val="0"/>
          <w:sz w:val="18"/>
          <w:szCs w:val="18"/>
          <w14:shadow w14:blurRad="0" w14:dist="0" w14:dir="0" w14:sx="0" w14:sy="0" w14:kx="0" w14:ky="0" w14:algn="none">
            <w14:srgbClr w14:val="000000"/>
          </w14:shadow>
        </w:rPr>
        <w:t xml:space="preserve"> Geração</w:t>
      </w:r>
      <w:r w:rsidRPr="00336BFC">
        <w:rPr>
          <w:rFonts w:ascii="Arial" w:hAnsi="Arial" w:cs="Arial"/>
          <w:b w:val="0"/>
          <w:sz w:val="18"/>
          <w:szCs w:val="18"/>
          <w:lang w:val="es-ES"/>
          <w14:shadow w14:blurRad="0" w14:dist="0" w14:dir="0" w14:sx="0" w14:sy="0" w14:kx="0" w14:ky="0" w14:algn="none">
            <w14:srgbClr w14:val="000000"/>
          </w14:shadow>
        </w:rPr>
        <w:t xml:space="preserve"> de Energia Elétrica (PEGEE), observa-se que, a partir de um corpo técnico altamente qualificado, formado nas décadas de 1970 e 1980, possibi</w:t>
      </w:r>
      <w:r w:rsidR="0099725C">
        <w:rPr>
          <w:rFonts w:ascii="Arial" w:hAnsi="Arial" w:cs="Arial"/>
          <w:b w:val="0"/>
          <w:sz w:val="18"/>
          <w:szCs w:val="18"/>
          <w:lang w:val="es-ES"/>
          <w14:shadow w14:blurRad="0" w14:dist="0" w14:dir="0" w14:sx="0" w14:sy="0" w14:kx="0" w14:ky="0" w14:algn="none">
            <w14:srgbClr w14:val="000000"/>
          </w14:shadow>
        </w:rPr>
        <w:t>litou o desenvolvimento de crité</w:t>
      </w:r>
      <w:r w:rsidRPr="00336BFC">
        <w:rPr>
          <w:rFonts w:ascii="Arial" w:hAnsi="Arial" w:cs="Arial"/>
          <w:b w:val="0"/>
          <w:sz w:val="18"/>
          <w:szCs w:val="18"/>
          <w:lang w:val="es-ES"/>
          <w14:shadow w14:blurRad="0" w14:dist="0" w14:dir="0" w14:sx="0" w14:sy="0" w14:kx="0" w14:ky="0" w14:algn="none">
            <w14:srgbClr w14:val="000000"/>
          </w14:shadow>
        </w:rPr>
        <w:t>rios de garantía de suprimento que, de uma maneira geral, são utilizados até hoje. Portanto, cabe perguntar se as premissas constantes nos criterios energético-econômicos são obedecidas ou se a PEGEE posiciona-se numa situação que, na Psicologia Cognitiva, é chamada de Efeito de Ancoragem e Ajustamento. Tal conceito está relacionado à dificuldade humana de se afastar de uma informação recebida quando em processo de decisão. Segundo (1), a partir das idéias de Kahneman e Tversky, tal efeito resulta em estimativas viesadas. Em primeiro lugar, em razão da “âncora” inicial não relacionada ao valor estimado e, em segundo lugar, mesmo havendo uma relação, as pessoas tendem a ajustá-la muito pouco.</w:t>
      </w:r>
    </w:p>
    <w:p w:rsidR="0099725C" w:rsidRDefault="0099725C" w:rsidP="0099725C">
      <w:pPr>
        <w:pStyle w:val="Corpodetexto"/>
        <w:spacing w:after="0" w:line="360" w:lineRule="auto"/>
        <w:ind w:firstLine="0"/>
        <w:outlineLvl w:val="0"/>
        <w:rPr>
          <w:rFonts w:ascii="Arial" w:hAnsi="Arial" w:cs="Arial"/>
          <w:b w:val="0"/>
          <w:sz w:val="18"/>
          <w:szCs w:val="18"/>
          <w:lang w:val="es-ES"/>
          <w14:shadow w14:blurRad="0" w14:dist="0" w14:dir="0" w14:sx="0" w14:sy="0" w14:kx="0" w14:ky="0" w14:algn="none">
            <w14:srgbClr w14:val="000000"/>
          </w14:shadow>
        </w:rPr>
      </w:pPr>
    </w:p>
    <w:p w:rsidR="0099725C" w:rsidRDefault="00104B6B" w:rsidP="0099725C">
      <w:pPr>
        <w:pStyle w:val="Corpodetexto"/>
        <w:spacing w:after="0" w:line="360" w:lineRule="auto"/>
        <w:ind w:firstLine="0"/>
        <w:outlineLvl w:val="0"/>
        <w:rPr>
          <w:rFonts w:ascii="Arial" w:hAnsi="Arial" w:cs="Arial"/>
          <w:b w:val="0"/>
          <w:sz w:val="18"/>
          <w:szCs w:val="18"/>
          <w:lang w:val="es-ES"/>
        </w:rPr>
      </w:pPr>
      <w:r>
        <w:rPr>
          <w:rFonts w:ascii="Arial" w:hAnsi="Arial" w:cs="Arial"/>
          <w:b w:val="0"/>
          <w:sz w:val="18"/>
          <w:szCs w:val="18"/>
          <w:lang w:val="es-ES"/>
          <w14:shadow w14:blurRad="0" w14:dist="0" w14:dir="0" w14:sx="0" w14:sy="0" w14:kx="0" w14:ky="0" w14:algn="none">
            <w14:srgbClr w14:val="000000"/>
          </w14:shadow>
        </w:rPr>
        <w:t>O presente Informe T</w:t>
      </w:r>
      <w:r w:rsidR="0099725C">
        <w:rPr>
          <w:rFonts w:ascii="Arial" w:hAnsi="Arial" w:cs="Arial"/>
          <w:b w:val="0"/>
          <w:sz w:val="18"/>
          <w:szCs w:val="18"/>
          <w:lang w:val="es-ES"/>
          <w14:shadow w14:blurRad="0" w14:dist="0" w14:dir="0" w14:sx="0" w14:sy="0" w14:kx="0" w14:ky="0" w14:algn="none">
            <w14:srgbClr w14:val="000000"/>
          </w14:shadow>
        </w:rPr>
        <w:t>écnico</w:t>
      </w:r>
      <w:r>
        <w:rPr>
          <w:rFonts w:ascii="Arial" w:hAnsi="Arial" w:cs="Arial"/>
          <w:b w:val="0"/>
          <w:sz w:val="18"/>
          <w:szCs w:val="18"/>
          <w:lang w:val="es-ES"/>
          <w14:shadow w14:blurRad="0" w14:dist="0" w14:dir="0" w14:sx="0" w14:sy="0" w14:kx="0" w14:ky="0" w14:algn="none">
            <w14:srgbClr w14:val="000000"/>
          </w14:shadow>
        </w:rPr>
        <w:t xml:space="preserve"> </w:t>
      </w:r>
      <w:r w:rsidR="0099725C">
        <w:rPr>
          <w:rFonts w:ascii="Arial" w:hAnsi="Arial" w:cs="Arial"/>
          <w:b w:val="0"/>
          <w:sz w:val="18"/>
          <w:szCs w:val="18"/>
          <w:lang w:val="es-ES"/>
          <w14:shadow w14:blurRad="0" w14:dist="0" w14:dir="0" w14:sx="0" w14:sy="0" w14:kx="0" w14:ky="0" w14:algn="none">
            <w14:srgbClr w14:val="000000"/>
          </w14:shadow>
        </w:rPr>
        <w:t xml:space="preserve"> tem o objetivo de municiar os componentes do GT com informaç</w:t>
      </w:r>
      <w:r>
        <w:rPr>
          <w:rFonts w:ascii="Arial" w:hAnsi="Arial" w:cs="Arial"/>
          <w:b w:val="0"/>
          <w:sz w:val="18"/>
          <w:szCs w:val="18"/>
          <w:lang w:val="es-ES"/>
          <w14:shadow w14:blurRad="0" w14:dist="0" w14:dir="0" w14:sx="0" w14:sy="0" w14:kx="0" w14:ky="0" w14:algn="none">
            <w14:srgbClr w14:val="000000"/>
          </w14:shadow>
        </w:rPr>
        <w:t>ões</w:t>
      </w:r>
      <w:r w:rsidR="0099725C">
        <w:rPr>
          <w:rFonts w:ascii="Arial" w:hAnsi="Arial" w:cs="Arial"/>
          <w:b w:val="0"/>
          <w:sz w:val="18"/>
          <w:szCs w:val="18"/>
          <w:lang w:val="es-ES"/>
          <w14:shadow w14:blurRad="0" w14:dist="0" w14:dir="0" w14:sx="0" w14:sy="0" w14:kx="0" w14:ky="0" w14:algn="none">
            <w14:srgbClr w14:val="000000"/>
          </w14:shadow>
        </w:rPr>
        <w:t xml:space="preserve"> que talvez não sejam acessíveis</w:t>
      </w:r>
      <w:r>
        <w:rPr>
          <w:rFonts w:ascii="Arial" w:hAnsi="Arial" w:cs="Arial"/>
          <w:b w:val="0"/>
          <w:sz w:val="18"/>
          <w:szCs w:val="18"/>
          <w:lang w:val="es-ES"/>
          <w14:shadow w14:blurRad="0" w14:dist="0" w14:dir="0" w14:sx="0" w14:sy="0" w14:kx="0" w14:ky="0" w14:algn="none">
            <w14:srgbClr w14:val="000000"/>
          </w14:shadow>
        </w:rPr>
        <w:t xml:space="preserve">, bem como alguns questionamentos no intuito de criar uma massa crítica voltada ao PGEE que infelizmente se perdeu. Sendo assim, a presente contribuição IT está estruturada, além dessa introdução, em </w:t>
      </w:r>
      <w:r w:rsidR="00557299">
        <w:rPr>
          <w:rFonts w:ascii="Arial" w:hAnsi="Arial" w:cs="Arial"/>
          <w:b w:val="0"/>
          <w:sz w:val="18"/>
          <w:szCs w:val="18"/>
          <w:lang w:val="es-ES"/>
          <w14:shadow w14:blurRad="0" w14:dist="0" w14:dir="0" w14:sx="0" w14:sy="0" w14:kx="0" w14:ky="0" w14:algn="none">
            <w14:srgbClr w14:val="000000"/>
          </w14:shadow>
        </w:rPr>
        <w:t>oito</w:t>
      </w:r>
      <w:r>
        <w:rPr>
          <w:rFonts w:ascii="Arial" w:hAnsi="Arial" w:cs="Arial"/>
          <w:b w:val="0"/>
          <w:sz w:val="18"/>
          <w:szCs w:val="18"/>
          <w:lang w:val="es-ES"/>
          <w14:shadow w14:blurRad="0" w14:dist="0" w14:dir="0" w14:sx="0" w14:sy="0" w14:kx="0" w14:ky="0" w14:algn="none">
            <w14:srgbClr w14:val="000000"/>
          </w14:shadow>
        </w:rPr>
        <w:t xml:space="preserve"> seções.</w:t>
      </w:r>
    </w:p>
    <w:p w:rsidR="0040435F" w:rsidRDefault="0040435F" w:rsidP="00303B23">
      <w:pPr>
        <w:pStyle w:val="Corpodetexto"/>
        <w:spacing w:after="0"/>
        <w:ind w:firstLine="0"/>
        <w:outlineLvl w:val="0"/>
        <w:rPr>
          <w:rFonts w:ascii="Arial" w:hAnsi="Arial" w:cs="Arial"/>
          <w:b w:val="0"/>
          <w:sz w:val="18"/>
          <w:szCs w:val="18"/>
          <w:lang w:val="es-ES"/>
        </w:rPr>
      </w:pPr>
    </w:p>
    <w:p w:rsidR="00F174B5" w:rsidRPr="00CF440C" w:rsidRDefault="00B85573" w:rsidP="0040435F">
      <w:pPr>
        <w:pStyle w:val="Ttulo1"/>
        <w:rPr>
          <w:sz w:val="18"/>
          <w:szCs w:val="18"/>
        </w:rPr>
      </w:pPr>
      <w:bookmarkStart w:id="3" w:name="_Toc192868786"/>
      <w:bookmarkStart w:id="4" w:name="_Toc192868846"/>
      <w:bookmarkStart w:id="5" w:name="_Toc192937633"/>
      <w:r w:rsidRPr="00CF440C">
        <w:rPr>
          <w:sz w:val="18"/>
          <w:szCs w:val="18"/>
        </w:rPr>
        <w:t xml:space="preserve">2) </w:t>
      </w:r>
      <w:bookmarkEnd w:id="3"/>
      <w:bookmarkEnd w:id="4"/>
      <w:bookmarkEnd w:id="5"/>
      <w:r w:rsidR="00A72759" w:rsidRPr="00CF440C">
        <w:rPr>
          <w:sz w:val="18"/>
          <w:szCs w:val="18"/>
          <w:lang w:eastAsia="af-ZA"/>
        </w:rPr>
        <w:t>BREVE HISTÓRIO DO PLANEJAMENTO DA EXPANSÃO</w:t>
      </w:r>
    </w:p>
    <w:p w:rsidR="00A72759" w:rsidRPr="00336BFC" w:rsidRDefault="00A72759" w:rsidP="00A72759">
      <w:pPr>
        <w:pStyle w:val="Ttulo2"/>
        <w:rPr>
          <w:sz w:val="18"/>
          <w:szCs w:val="18"/>
          <w:lang w:eastAsia="af-ZA"/>
        </w:rPr>
      </w:pPr>
      <w:r w:rsidRPr="00336BFC">
        <w:rPr>
          <w:sz w:val="18"/>
          <w:szCs w:val="18"/>
          <w:lang w:eastAsia="af-ZA"/>
        </w:rPr>
        <w:t>2.1   Fase Inicial (até 1962)</w:t>
      </w:r>
    </w:p>
    <w:p w:rsidR="00A72759" w:rsidRPr="00336BFC" w:rsidRDefault="00A72759" w:rsidP="00A72759">
      <w:pPr>
        <w:pStyle w:val="Corpodetexto2"/>
        <w:rPr>
          <w:rFonts w:cs="Arial"/>
          <w:sz w:val="18"/>
          <w:szCs w:val="18"/>
        </w:rPr>
      </w:pPr>
    </w:p>
    <w:p w:rsidR="00A72759" w:rsidRPr="00436594" w:rsidRDefault="00A72759" w:rsidP="00104B6B">
      <w:pPr>
        <w:autoSpaceDE w:val="0"/>
        <w:autoSpaceDN w:val="0"/>
        <w:adjustRightInd w:val="0"/>
        <w:spacing w:line="360" w:lineRule="auto"/>
        <w:jc w:val="both"/>
        <w:rPr>
          <w:lang w:eastAsia="af-ZA"/>
        </w:rPr>
      </w:pPr>
      <w:r w:rsidRPr="00336BFC">
        <w:rPr>
          <w:rFonts w:ascii="Arial" w:hAnsi="Arial" w:cs="Arial"/>
          <w:sz w:val="18"/>
          <w:szCs w:val="18"/>
        </w:rPr>
        <w:t>Nesta época</w:t>
      </w:r>
      <w:r w:rsidR="00336BFC" w:rsidRPr="00336BFC">
        <w:rPr>
          <w:rFonts w:ascii="Arial" w:hAnsi="Arial" w:cs="Arial"/>
          <w:sz w:val="18"/>
          <w:szCs w:val="18"/>
        </w:rPr>
        <w:t xml:space="preserve"> </w:t>
      </w:r>
      <w:r w:rsidRPr="00336BFC">
        <w:rPr>
          <w:rFonts w:ascii="Arial" w:hAnsi="Arial" w:cs="Arial"/>
          <w:sz w:val="18"/>
          <w:szCs w:val="18"/>
        </w:rPr>
        <w:t>os sistemas elétricos eram, com exceção do Rio de Janeiro e São Paulo, de pequeno porte. A construção e a operação eram realizadas por empresas privadas, como também pelas estatais existentes federal (Chesf e Furnas) ou estadual (Cemig). No tocante às expansões da capacidade de suprimento, quer em nível de geração quer de transmissão, eram feitas nas próprias áreas de concessão. Nos anos de 1961 e 1962 foram criados o Ministério de Minas e Energia e a Eletrobrás, respectivamente.</w:t>
      </w:r>
    </w:p>
    <w:p w:rsidR="00A72759" w:rsidRPr="00336BFC" w:rsidRDefault="00A72759" w:rsidP="00336BFC">
      <w:pPr>
        <w:pStyle w:val="Ttulo2"/>
        <w:rPr>
          <w:sz w:val="18"/>
          <w:szCs w:val="18"/>
        </w:rPr>
      </w:pPr>
      <w:r w:rsidRPr="00336BFC">
        <w:rPr>
          <w:sz w:val="18"/>
          <w:szCs w:val="18"/>
        </w:rPr>
        <w:t xml:space="preserve">2.2  Fase da Descoberta (1963-1970): Canambra e o Critério </w:t>
      </w:r>
      <w:r w:rsidR="004545DA">
        <w:rPr>
          <w:sz w:val="18"/>
          <w:szCs w:val="18"/>
        </w:rPr>
        <w:t>Tradicional</w:t>
      </w:r>
    </w:p>
    <w:p w:rsidR="00A72759" w:rsidRPr="00336BFC" w:rsidRDefault="00A72759" w:rsidP="00A72759">
      <w:pPr>
        <w:widowControl w:val="0"/>
        <w:tabs>
          <w:tab w:val="left" w:pos="864"/>
        </w:tabs>
        <w:spacing w:line="192" w:lineRule="exact"/>
        <w:ind w:left="864" w:right="1296" w:hanging="864"/>
        <w:rPr>
          <w:rFonts w:ascii="Arial" w:hAnsi="Arial" w:cs="Arial"/>
          <w:sz w:val="18"/>
          <w:szCs w:val="18"/>
          <w:lang w:eastAsia="af-ZA"/>
        </w:rPr>
      </w:pPr>
    </w:p>
    <w:p w:rsidR="00A72759" w:rsidRPr="00336BFC" w:rsidRDefault="00A72759" w:rsidP="00AF4390">
      <w:pPr>
        <w:autoSpaceDE w:val="0"/>
        <w:autoSpaceDN w:val="0"/>
        <w:adjustRightInd w:val="0"/>
        <w:spacing w:line="360" w:lineRule="auto"/>
        <w:jc w:val="both"/>
        <w:rPr>
          <w:rFonts w:ascii="Arial" w:hAnsi="Arial" w:cs="Arial"/>
          <w:sz w:val="18"/>
          <w:szCs w:val="18"/>
        </w:rPr>
      </w:pPr>
      <w:r w:rsidRPr="00336BFC">
        <w:rPr>
          <w:rFonts w:ascii="Arial" w:hAnsi="Arial" w:cs="Arial"/>
          <w:sz w:val="18"/>
          <w:szCs w:val="18"/>
        </w:rPr>
        <w:t xml:space="preserve">O crescimento da demanda de energia, bem como a integração operacional entre diversas concessionárias da Região Sudeste, proporcionou a necessidade de estabelecer um planejamento elétrico integrado de longo </w:t>
      </w:r>
      <w:r w:rsidRPr="00336BFC">
        <w:rPr>
          <w:rFonts w:ascii="Arial" w:hAnsi="Arial" w:cs="Arial"/>
          <w:sz w:val="18"/>
          <w:szCs w:val="18"/>
        </w:rPr>
        <w:lastRenderedPageBreak/>
        <w:t xml:space="preserve">prazo. A partir de um aporte de recursos do Banco Mundial, foi constituído o consórcio Canambra, formada por duas empresas canadenses (Montreal Engineering e G.E.Grispen and Associates) e uma empresa norte-americana (Gibbs and Hill). Estas firmas tinham como tarefa a execução do potencial hidráulico e do mercado de energia elétrica da Região Sudeste. A supervisão dos trabalhos era brasileira, do Comitê de Estudos Energéticos Centro-Sul. </w:t>
      </w:r>
    </w:p>
    <w:p w:rsidR="00A72759" w:rsidRPr="00336BFC" w:rsidRDefault="00A72759" w:rsidP="00AF4390">
      <w:pPr>
        <w:widowControl w:val="0"/>
        <w:spacing w:line="360" w:lineRule="auto"/>
        <w:ind w:right="72"/>
        <w:jc w:val="both"/>
        <w:rPr>
          <w:rFonts w:ascii="Arial" w:hAnsi="Arial" w:cs="Arial"/>
          <w:sz w:val="18"/>
          <w:szCs w:val="18"/>
        </w:rPr>
      </w:pPr>
    </w:p>
    <w:p w:rsidR="00A72759" w:rsidRPr="00336BFC" w:rsidRDefault="00336BFC" w:rsidP="00AF4390">
      <w:pPr>
        <w:autoSpaceDE w:val="0"/>
        <w:autoSpaceDN w:val="0"/>
        <w:adjustRightInd w:val="0"/>
        <w:spacing w:line="360" w:lineRule="auto"/>
        <w:jc w:val="both"/>
        <w:rPr>
          <w:rFonts w:ascii="Arial" w:hAnsi="Arial" w:cs="Arial"/>
          <w:sz w:val="18"/>
          <w:szCs w:val="18"/>
          <w:lang w:eastAsia="af-ZA"/>
        </w:rPr>
      </w:pPr>
      <w:r>
        <w:rPr>
          <w:rFonts w:ascii="Arial" w:hAnsi="Arial" w:cs="Arial"/>
          <w:sz w:val="18"/>
          <w:szCs w:val="18"/>
        </w:rPr>
        <w:t>O r</w:t>
      </w:r>
      <w:r w:rsidR="00A72759" w:rsidRPr="00336BFC">
        <w:rPr>
          <w:rFonts w:ascii="Arial" w:hAnsi="Arial" w:cs="Arial"/>
          <w:sz w:val="18"/>
          <w:szCs w:val="18"/>
        </w:rPr>
        <w:t>elatório final da Canambra foi entregue em dezembro de 1966 e continha um programa de obras de longo prazo, estudos de inventário e de mercado de energia. Cabe observar que o documento destacava os benefícios advindos da interligação do sistema de predominância hidroelétrica tal como o brasileiro. Com relação às Usinas Termoelétricas (UTEs) à carvão, proveniente da região carbonífera do Sul, o texto informava não haver nenhuma vantagem na sua operação para atendimento da Região Sudeste, o mesmo acontecendo para usinas nucleares.</w:t>
      </w:r>
      <w:r w:rsidR="00A72759" w:rsidRPr="00336BFC">
        <w:rPr>
          <w:rFonts w:ascii="Arial" w:hAnsi="Arial" w:cs="Arial"/>
          <w:sz w:val="18"/>
          <w:szCs w:val="18"/>
          <w:lang w:eastAsia="af-ZA"/>
        </w:rPr>
        <w:t xml:space="preserve"> </w:t>
      </w:r>
      <w:r w:rsidR="00A72759" w:rsidRPr="00336BFC">
        <w:rPr>
          <w:rFonts w:ascii="Arial" w:hAnsi="Arial" w:cs="Arial"/>
          <w:sz w:val="18"/>
          <w:szCs w:val="18"/>
        </w:rPr>
        <w:t xml:space="preserve">No final da década de 60, foram realizados os Estudos Energéticos da Região Sul, abrangendo os estados do Paraná (excetuando a região Norte), Santa Catarina e Rio Grande do Sul, tendo a supervisão do Comitê Coordenador de Estudos Energéticos do Sul (ENERSUL). Nesta fase, os estudos de suprimento de energia e ponta baseavam-se </w:t>
      </w:r>
      <w:r w:rsidR="004545DA">
        <w:rPr>
          <w:rFonts w:ascii="Arial" w:hAnsi="Arial" w:cs="Arial"/>
          <w:sz w:val="18"/>
          <w:szCs w:val="18"/>
        </w:rPr>
        <w:t xml:space="preserve">no chamado Critério Tradicional, isto é, </w:t>
      </w:r>
      <w:r w:rsidR="00A72759" w:rsidRPr="00336BFC">
        <w:rPr>
          <w:rFonts w:ascii="Arial" w:hAnsi="Arial" w:cs="Arial"/>
          <w:sz w:val="18"/>
          <w:szCs w:val="18"/>
        </w:rPr>
        <w:t>uma abordagem determinística</w:t>
      </w:r>
      <w:r w:rsidR="004545DA">
        <w:rPr>
          <w:rFonts w:ascii="Arial" w:hAnsi="Arial" w:cs="Arial"/>
          <w:sz w:val="18"/>
          <w:szCs w:val="18"/>
        </w:rPr>
        <w:t xml:space="preserve"> </w:t>
      </w:r>
      <w:r w:rsidR="00A72759" w:rsidRPr="00336BFC">
        <w:rPr>
          <w:rFonts w:ascii="Arial" w:hAnsi="Arial" w:cs="Arial"/>
          <w:sz w:val="18"/>
          <w:szCs w:val="18"/>
        </w:rPr>
        <w:t xml:space="preserve">(cf. </w:t>
      </w:r>
      <w:r w:rsidR="00104B6B">
        <w:rPr>
          <w:rFonts w:ascii="Arial" w:hAnsi="Arial" w:cs="Arial"/>
          <w:sz w:val="18"/>
          <w:szCs w:val="18"/>
        </w:rPr>
        <w:t>3.1</w:t>
      </w:r>
      <w:r w:rsidR="00A72759" w:rsidRPr="00336BFC">
        <w:rPr>
          <w:rFonts w:ascii="Arial" w:hAnsi="Arial" w:cs="Arial"/>
          <w:sz w:val="18"/>
          <w:szCs w:val="18"/>
        </w:rPr>
        <w:t>).</w:t>
      </w:r>
    </w:p>
    <w:p w:rsidR="00A72759" w:rsidRPr="006027B1" w:rsidRDefault="00A72759" w:rsidP="006027B1">
      <w:pPr>
        <w:pStyle w:val="Ttulo2"/>
        <w:rPr>
          <w:sz w:val="18"/>
          <w:szCs w:val="18"/>
        </w:rPr>
      </w:pPr>
      <w:r w:rsidRPr="006027B1">
        <w:rPr>
          <w:sz w:val="18"/>
          <w:szCs w:val="18"/>
        </w:rPr>
        <w:t>2.3   Fase de Aprimoramento (década de 1970): a Eletrobrás como planejadora do setor e o uso de modelos energéticos</w:t>
      </w:r>
    </w:p>
    <w:p w:rsidR="00A72759" w:rsidRPr="00336BFC" w:rsidRDefault="00A72759" w:rsidP="00336BFC">
      <w:pPr>
        <w:widowControl w:val="0"/>
        <w:ind w:right="74"/>
        <w:jc w:val="both"/>
        <w:rPr>
          <w:rFonts w:ascii="Arial" w:hAnsi="Arial" w:cs="Arial"/>
          <w:sz w:val="18"/>
          <w:szCs w:val="18"/>
          <w:lang w:eastAsia="af-ZA"/>
        </w:rPr>
      </w:pPr>
    </w:p>
    <w:p w:rsidR="00A72759" w:rsidRPr="00336BFC" w:rsidRDefault="00A72759" w:rsidP="00AF4390">
      <w:pPr>
        <w:autoSpaceDE w:val="0"/>
        <w:autoSpaceDN w:val="0"/>
        <w:adjustRightInd w:val="0"/>
        <w:spacing w:line="360" w:lineRule="auto"/>
        <w:jc w:val="both"/>
        <w:rPr>
          <w:rFonts w:ascii="Arial" w:hAnsi="Arial" w:cs="Arial"/>
          <w:sz w:val="18"/>
          <w:szCs w:val="18"/>
          <w:lang w:eastAsia="af-ZA"/>
        </w:rPr>
      </w:pPr>
      <w:r w:rsidRPr="00336BFC">
        <w:rPr>
          <w:rFonts w:ascii="Arial" w:hAnsi="Arial" w:cs="Arial"/>
          <w:sz w:val="18"/>
          <w:szCs w:val="18"/>
        </w:rPr>
        <w:t>A Eletrobrás consolida-se como a responsável pelo planejamento do setor elétrico, seja na questão dos inventários das bacias hidrográficas, seja na elaboração de planos de expansão da geração, como também no planejamento e implantação de redes de transmissão a longa distância. Portanto, os conflitos existentes com outras empresas, quer de cunho federal (Chesf e Furnas), quer estadual (Cesp e Cemig) foram reduzidos em razão do crescimento econômico acelerado, bem como o período autoritário que o país passou. Na pr</w:t>
      </w:r>
      <w:r w:rsidR="00104B6B">
        <w:rPr>
          <w:rFonts w:ascii="Arial" w:hAnsi="Arial" w:cs="Arial"/>
          <w:sz w:val="18"/>
          <w:szCs w:val="18"/>
        </w:rPr>
        <w:t>imeira metade da década de 1970</w:t>
      </w:r>
      <w:r w:rsidRPr="00336BFC">
        <w:rPr>
          <w:rFonts w:ascii="Arial" w:hAnsi="Arial" w:cs="Arial"/>
          <w:sz w:val="18"/>
          <w:szCs w:val="18"/>
        </w:rPr>
        <w:t xml:space="preserve"> a empresa elabora relatórios</w:t>
      </w:r>
      <w:r w:rsidR="00104B6B">
        <w:rPr>
          <w:rFonts w:ascii="Arial" w:hAnsi="Arial" w:cs="Arial"/>
          <w:sz w:val="18"/>
          <w:szCs w:val="18"/>
        </w:rPr>
        <w:t>,</w:t>
      </w:r>
      <w:r w:rsidRPr="00336BFC">
        <w:rPr>
          <w:rFonts w:ascii="Arial" w:hAnsi="Arial" w:cs="Arial"/>
          <w:sz w:val="18"/>
          <w:szCs w:val="18"/>
        </w:rPr>
        <w:t xml:space="preserve"> os quais sinalizavam o definitivo abandono do planejamento em nível da empresa para aquele que proporcionará uma ótica mais regional. Desta maneira, houve a necessidade do sistema criar organismos que fossem capazes de coordenar atividades relacionadas ao planejamento da operação e aos estudos de transmissão e distribuição de energia elétrica dos sistemas interligados Norte/Nordeste e Sul/Sudeste/C.Oeste, quais sejam: Comitê Coordenador de Operação Norte/Nordeste (CCON) e o Grupo Coordenador para Operação Interligada (GCOI).</w:t>
      </w:r>
      <w:r w:rsidRPr="00336BFC">
        <w:rPr>
          <w:rFonts w:ascii="Arial" w:hAnsi="Arial" w:cs="Arial"/>
          <w:sz w:val="18"/>
          <w:szCs w:val="18"/>
          <w:lang w:eastAsia="af-ZA"/>
        </w:rPr>
        <w:t xml:space="preserve"> </w:t>
      </w:r>
    </w:p>
    <w:p w:rsidR="00A72759" w:rsidRPr="00336BFC" w:rsidRDefault="00A72759" w:rsidP="00AF4390">
      <w:pPr>
        <w:widowControl w:val="0"/>
        <w:tabs>
          <w:tab w:val="left" w:pos="900"/>
        </w:tabs>
        <w:spacing w:line="360" w:lineRule="auto"/>
        <w:ind w:left="36"/>
        <w:jc w:val="both"/>
        <w:rPr>
          <w:rFonts w:ascii="Arial" w:hAnsi="Arial" w:cs="Arial"/>
          <w:sz w:val="18"/>
          <w:szCs w:val="18"/>
          <w:lang w:eastAsia="af-ZA"/>
        </w:rPr>
      </w:pPr>
    </w:p>
    <w:p w:rsidR="00A72759" w:rsidRPr="00336BFC" w:rsidRDefault="00A72759" w:rsidP="00AF4390">
      <w:pPr>
        <w:autoSpaceDE w:val="0"/>
        <w:autoSpaceDN w:val="0"/>
        <w:adjustRightInd w:val="0"/>
        <w:spacing w:line="360" w:lineRule="auto"/>
        <w:jc w:val="both"/>
        <w:rPr>
          <w:rFonts w:ascii="Arial" w:hAnsi="Arial" w:cs="Arial"/>
          <w:sz w:val="18"/>
          <w:szCs w:val="18"/>
        </w:rPr>
      </w:pPr>
      <w:r w:rsidRPr="00336BFC">
        <w:rPr>
          <w:rFonts w:ascii="Arial" w:hAnsi="Arial" w:cs="Arial"/>
          <w:sz w:val="18"/>
          <w:szCs w:val="18"/>
        </w:rPr>
        <w:t>A segunda metade da década de 70 foi marcada pelo compromisso do governo com a implantação do II Plano Nacional de Desenvolvimento (II PND) e, como consequência, a Eletrobrás elaborou o Plano de Atendimento de Energia Elétrica até 1990 das regiões Sudeste e Centro Oeste (Plano 90) que obedecia às diretrizes estabelecidas</w:t>
      </w:r>
      <w:r w:rsidR="00336BFC">
        <w:rPr>
          <w:rFonts w:ascii="Arial" w:hAnsi="Arial" w:cs="Arial"/>
          <w:sz w:val="18"/>
          <w:szCs w:val="18"/>
        </w:rPr>
        <w:t xml:space="preserve"> </w:t>
      </w:r>
      <w:r w:rsidRPr="00336BFC">
        <w:rPr>
          <w:rFonts w:ascii="Arial" w:hAnsi="Arial" w:cs="Arial"/>
          <w:sz w:val="18"/>
          <w:szCs w:val="18"/>
        </w:rPr>
        <w:t>pelo II PND. O Plano 90 era extremamente dependente do projeto de Itaipu e do programa nuclear brasileiro. A inserção sobre estes dois projetos, conforme comentado por especialistas (</w:t>
      </w:r>
      <w:r w:rsidR="00336BFC">
        <w:rPr>
          <w:rFonts w:ascii="Arial" w:hAnsi="Arial" w:cs="Arial"/>
          <w:sz w:val="18"/>
          <w:szCs w:val="18"/>
        </w:rPr>
        <w:t>2</w:t>
      </w:r>
      <w:r w:rsidRPr="00336BFC">
        <w:rPr>
          <w:rFonts w:ascii="Arial" w:hAnsi="Arial" w:cs="Arial"/>
          <w:sz w:val="18"/>
          <w:szCs w:val="18"/>
        </w:rPr>
        <w:t>), foi tratada fora do âmbito técnico do setor. No ano de 1977, houve a elaboração do primeiro plano com um enfoque nacional (Plano 95) o qual apresentou a estimativa do potencial de en</w:t>
      </w:r>
      <w:r w:rsidR="004545DA">
        <w:rPr>
          <w:rFonts w:ascii="Arial" w:hAnsi="Arial" w:cs="Arial"/>
          <w:sz w:val="18"/>
          <w:szCs w:val="18"/>
        </w:rPr>
        <w:t>ergia firme em 104,5 GW médios</w:t>
      </w:r>
      <w:r w:rsidRPr="00336BFC">
        <w:rPr>
          <w:rFonts w:ascii="Arial" w:hAnsi="Arial" w:cs="Arial"/>
          <w:sz w:val="18"/>
          <w:szCs w:val="18"/>
        </w:rPr>
        <w:t>.</w:t>
      </w:r>
    </w:p>
    <w:p w:rsidR="00A72759" w:rsidRPr="00336BFC" w:rsidRDefault="00A72759" w:rsidP="00AF4390">
      <w:pPr>
        <w:widowControl w:val="0"/>
        <w:spacing w:line="360" w:lineRule="auto"/>
        <w:jc w:val="both"/>
        <w:rPr>
          <w:rFonts w:ascii="Arial" w:hAnsi="Arial" w:cs="Arial"/>
          <w:sz w:val="18"/>
          <w:szCs w:val="18"/>
          <w:lang w:eastAsia="af-ZA"/>
        </w:rPr>
      </w:pPr>
    </w:p>
    <w:p w:rsidR="00A72759" w:rsidRPr="00336BFC" w:rsidRDefault="00A72759" w:rsidP="00AF4390">
      <w:pPr>
        <w:autoSpaceDE w:val="0"/>
        <w:autoSpaceDN w:val="0"/>
        <w:adjustRightInd w:val="0"/>
        <w:spacing w:line="360" w:lineRule="auto"/>
        <w:jc w:val="both"/>
        <w:rPr>
          <w:rFonts w:ascii="Arial" w:hAnsi="Arial" w:cs="Arial"/>
          <w:sz w:val="18"/>
          <w:szCs w:val="18"/>
        </w:rPr>
      </w:pPr>
      <w:r w:rsidRPr="00336BFC">
        <w:rPr>
          <w:rFonts w:ascii="Arial" w:hAnsi="Arial" w:cs="Arial"/>
          <w:sz w:val="18"/>
          <w:szCs w:val="18"/>
        </w:rPr>
        <w:t xml:space="preserve">Neste período, cabe destacar dois pontos ligados ao planejamento da expansão. Em primeiro lugar, </w:t>
      </w:r>
      <w:r w:rsidR="004545DA" w:rsidRPr="00336BFC">
        <w:rPr>
          <w:rFonts w:ascii="Arial" w:hAnsi="Arial" w:cs="Arial"/>
          <w:sz w:val="18"/>
          <w:szCs w:val="18"/>
        </w:rPr>
        <w:t>se refere a criação, em 1974, do Centro de Pesquisa de Energia Elétrica (Cepel), com responsabilidade sobre a metodologia e desenvolvimento de modelos energéticos a serem utilizados a nível nacional.</w:t>
      </w:r>
      <w:r w:rsidRPr="00336BFC">
        <w:rPr>
          <w:rFonts w:ascii="Arial" w:hAnsi="Arial" w:cs="Arial"/>
          <w:sz w:val="18"/>
          <w:szCs w:val="18"/>
        </w:rPr>
        <w:t xml:space="preserve"> O segundo</w:t>
      </w:r>
      <w:r w:rsidR="004545DA">
        <w:rPr>
          <w:rFonts w:ascii="Arial" w:hAnsi="Arial" w:cs="Arial"/>
          <w:sz w:val="18"/>
          <w:szCs w:val="18"/>
        </w:rPr>
        <w:t xml:space="preserve"> está </w:t>
      </w:r>
      <w:r w:rsidR="004545DA">
        <w:rPr>
          <w:rFonts w:ascii="Arial" w:hAnsi="Arial" w:cs="Arial"/>
          <w:sz w:val="18"/>
          <w:szCs w:val="18"/>
        </w:rPr>
        <w:lastRenderedPageBreak/>
        <w:t>relacionado a</w:t>
      </w:r>
      <w:r w:rsidR="004545DA" w:rsidRPr="00336BFC">
        <w:rPr>
          <w:rFonts w:ascii="Arial" w:hAnsi="Arial" w:cs="Arial"/>
          <w:sz w:val="18"/>
          <w:szCs w:val="18"/>
        </w:rPr>
        <w:t>o início</w:t>
      </w:r>
      <w:r w:rsidR="004545DA">
        <w:rPr>
          <w:rFonts w:ascii="Arial" w:hAnsi="Arial" w:cs="Arial"/>
          <w:sz w:val="18"/>
          <w:szCs w:val="18"/>
        </w:rPr>
        <w:t>, na segunda metade da década,</w:t>
      </w:r>
      <w:r w:rsidR="004545DA" w:rsidRPr="00336BFC">
        <w:rPr>
          <w:rFonts w:ascii="Arial" w:hAnsi="Arial" w:cs="Arial"/>
          <w:sz w:val="18"/>
          <w:szCs w:val="18"/>
        </w:rPr>
        <w:t xml:space="preserve"> da abordagem probabilística para o critério</w:t>
      </w:r>
      <w:r w:rsidR="004545DA">
        <w:rPr>
          <w:rFonts w:ascii="Arial" w:hAnsi="Arial" w:cs="Arial"/>
          <w:sz w:val="18"/>
          <w:szCs w:val="18"/>
        </w:rPr>
        <w:t>s</w:t>
      </w:r>
      <w:r w:rsidR="004545DA" w:rsidRPr="00336BFC">
        <w:rPr>
          <w:rFonts w:ascii="Arial" w:hAnsi="Arial" w:cs="Arial"/>
          <w:sz w:val="18"/>
          <w:szCs w:val="18"/>
        </w:rPr>
        <w:t xml:space="preserve"> de suprimento</w:t>
      </w:r>
      <w:r w:rsidR="004545DA">
        <w:rPr>
          <w:rFonts w:ascii="Arial" w:hAnsi="Arial" w:cs="Arial"/>
          <w:sz w:val="18"/>
          <w:szCs w:val="18"/>
        </w:rPr>
        <w:t>s</w:t>
      </w:r>
      <w:r w:rsidR="004545DA" w:rsidRPr="00336BFC">
        <w:rPr>
          <w:rFonts w:ascii="Arial" w:hAnsi="Arial" w:cs="Arial"/>
          <w:sz w:val="18"/>
          <w:szCs w:val="18"/>
        </w:rPr>
        <w:t xml:space="preserve"> de energia e ponta (cf. </w:t>
      </w:r>
      <w:r w:rsidR="00104B6B">
        <w:rPr>
          <w:rFonts w:ascii="Arial" w:hAnsi="Arial" w:cs="Arial"/>
          <w:sz w:val="18"/>
          <w:szCs w:val="18"/>
        </w:rPr>
        <w:t>3.2</w:t>
      </w:r>
      <w:r w:rsidR="004545DA" w:rsidRPr="00336BFC">
        <w:rPr>
          <w:rFonts w:ascii="Arial" w:hAnsi="Arial" w:cs="Arial"/>
          <w:sz w:val="18"/>
          <w:szCs w:val="18"/>
        </w:rPr>
        <w:t>).</w:t>
      </w:r>
      <w:r w:rsidRPr="00336BFC">
        <w:rPr>
          <w:rFonts w:ascii="Arial" w:hAnsi="Arial" w:cs="Arial"/>
          <w:sz w:val="18"/>
          <w:szCs w:val="18"/>
        </w:rPr>
        <w:t xml:space="preserve">  </w:t>
      </w:r>
    </w:p>
    <w:p w:rsidR="00A72759" w:rsidRPr="00336BFC" w:rsidRDefault="00A72759" w:rsidP="00336BFC">
      <w:pPr>
        <w:autoSpaceDE w:val="0"/>
        <w:autoSpaceDN w:val="0"/>
        <w:adjustRightInd w:val="0"/>
        <w:jc w:val="both"/>
        <w:rPr>
          <w:rFonts w:ascii="Arial" w:hAnsi="Arial" w:cs="Arial"/>
          <w:sz w:val="18"/>
          <w:szCs w:val="18"/>
        </w:rPr>
      </w:pPr>
    </w:p>
    <w:p w:rsidR="00A72759" w:rsidRPr="006027B1" w:rsidRDefault="00A72759" w:rsidP="006027B1">
      <w:pPr>
        <w:pStyle w:val="Ttulo2"/>
        <w:rPr>
          <w:sz w:val="18"/>
          <w:szCs w:val="18"/>
        </w:rPr>
      </w:pPr>
      <w:r w:rsidRPr="006027B1">
        <w:rPr>
          <w:sz w:val="18"/>
          <w:szCs w:val="18"/>
          <w:lang w:eastAsia="af-ZA"/>
        </w:rPr>
        <w:t xml:space="preserve">2.4   </w:t>
      </w:r>
      <w:r w:rsidRPr="006027B1">
        <w:rPr>
          <w:sz w:val="18"/>
          <w:szCs w:val="18"/>
        </w:rPr>
        <w:t>Fase Áurea (década de 1980): Criação do GCPS, Critério Probabilístico e a Abordagem Marginalista</w:t>
      </w:r>
    </w:p>
    <w:p w:rsidR="00A72759" w:rsidRPr="00336BFC" w:rsidRDefault="00A72759" w:rsidP="00336BFC">
      <w:pPr>
        <w:autoSpaceDE w:val="0"/>
        <w:autoSpaceDN w:val="0"/>
        <w:adjustRightInd w:val="0"/>
        <w:jc w:val="both"/>
        <w:rPr>
          <w:rFonts w:ascii="Arial" w:hAnsi="Arial" w:cs="Arial"/>
          <w:sz w:val="18"/>
          <w:szCs w:val="18"/>
          <w:lang w:eastAsia="af-ZA"/>
        </w:rPr>
      </w:pPr>
    </w:p>
    <w:p w:rsidR="00A72759" w:rsidRPr="00336BFC" w:rsidRDefault="00A72759" w:rsidP="00AF4390">
      <w:pPr>
        <w:autoSpaceDE w:val="0"/>
        <w:autoSpaceDN w:val="0"/>
        <w:adjustRightInd w:val="0"/>
        <w:spacing w:line="360" w:lineRule="auto"/>
        <w:jc w:val="both"/>
        <w:rPr>
          <w:rFonts w:ascii="Arial" w:hAnsi="Arial" w:cs="Arial"/>
          <w:sz w:val="18"/>
          <w:szCs w:val="18"/>
        </w:rPr>
      </w:pPr>
      <w:r w:rsidRPr="00336BFC">
        <w:rPr>
          <w:rFonts w:ascii="Arial" w:hAnsi="Arial" w:cs="Arial"/>
          <w:sz w:val="18"/>
          <w:szCs w:val="18"/>
        </w:rPr>
        <w:t xml:space="preserve">Apesar de conhecida como década perdida em razão da crise econômica-financeira que o país passou e que culminou em moratória e fracassos de diversos planos econômicos, a PEGEE começou a adquirir uma qualidade técnica que, posteriormente, seria reconhecida a nível internacional. Começou com a criação, em 1982, do Grupo Coordenador do Planejamento dos Sistemas Elétricos (GCPS) cuja estruturação, ao contrário do GCOI, se deu a partir de grupos de coordenação de suprimento energético e de transmissão, tendo sido formalizado a partir da promulgação de portaria do Ministério de Minas e Energia. O GCPS era dividido por regiões (Norte-Nordeste e Sul-Sudeste-Centro Oeste) e sua estrutura organizacional continha comitês técnicos relacionados aos estudos energético, de mercado e de transmissão. No tocante ao Comitê Técnico de Estudos Energéticos (CTEE) existiam dois grupos de trabalho. O Grupo de Trabalho de Critérios de Planejamento da Expansão (GTPE) com responsabilidades por questões metodológicas. Já o Grupo de Trabalho de Análise do Planejamento da Geração (GTPG) implementava os critérios estabelecidos pelo GTPE. </w:t>
      </w:r>
    </w:p>
    <w:p w:rsidR="00A72759" w:rsidRPr="00336BFC" w:rsidRDefault="00A72759" w:rsidP="00AF4390">
      <w:pPr>
        <w:autoSpaceDE w:val="0"/>
        <w:autoSpaceDN w:val="0"/>
        <w:adjustRightInd w:val="0"/>
        <w:spacing w:line="360" w:lineRule="auto"/>
        <w:jc w:val="both"/>
        <w:rPr>
          <w:rFonts w:ascii="Arial" w:hAnsi="Arial" w:cs="Arial"/>
          <w:sz w:val="18"/>
          <w:szCs w:val="18"/>
          <w:lang w:eastAsia="af-ZA"/>
        </w:rPr>
      </w:pPr>
    </w:p>
    <w:p w:rsidR="00A72759" w:rsidRPr="00336BFC" w:rsidRDefault="00A72759" w:rsidP="00AF4390">
      <w:pPr>
        <w:autoSpaceDE w:val="0"/>
        <w:autoSpaceDN w:val="0"/>
        <w:adjustRightInd w:val="0"/>
        <w:spacing w:line="360" w:lineRule="auto"/>
        <w:jc w:val="both"/>
        <w:rPr>
          <w:rFonts w:ascii="Arial" w:hAnsi="Arial" w:cs="Arial"/>
          <w:sz w:val="18"/>
          <w:szCs w:val="18"/>
        </w:rPr>
      </w:pPr>
      <w:r w:rsidRPr="00336BFC">
        <w:rPr>
          <w:rFonts w:ascii="Arial" w:hAnsi="Arial" w:cs="Arial"/>
          <w:sz w:val="18"/>
          <w:szCs w:val="18"/>
        </w:rPr>
        <w:t>Nesta época surgem dois relatórios que serviram de referência para as publicações realizadas hoje em dia pela E</w:t>
      </w:r>
      <w:r w:rsidR="00104B6B">
        <w:rPr>
          <w:rFonts w:ascii="Arial" w:hAnsi="Arial" w:cs="Arial"/>
          <w:sz w:val="18"/>
          <w:szCs w:val="18"/>
        </w:rPr>
        <w:t>mpresa de Pesquisa Energética (EPE)</w:t>
      </w:r>
      <w:r w:rsidRPr="00336BFC">
        <w:rPr>
          <w:rFonts w:ascii="Arial" w:hAnsi="Arial" w:cs="Arial"/>
          <w:sz w:val="18"/>
          <w:szCs w:val="18"/>
        </w:rPr>
        <w:t xml:space="preserve">. O primeiro chamado de Plano Decenal de Expansão (PDE), com periodicidade anual, preocupava-se, dentro de uma perspectiva de expansão do sistema de geração, em ajustar os programas de obras de geração e transmissão de acordo com as variações conjunturais como mudanças na previsão de mercado e restrições físico-financeiras de obras em andamento. O segundo tinha uma perspectiva de mais longo prazo, com periodicidade quinquenal, com a finalidade de identificar a composição esperada do parque gerador e dos troncos de transmissão para interligações regionais, bem como determinar a necessidade de investimentos em processos tecnológicos e industriais num horizonte entre 20 e 30 anos. </w:t>
      </w:r>
      <w:r w:rsidR="00DE46D1">
        <w:rPr>
          <w:rFonts w:ascii="Arial" w:hAnsi="Arial" w:cs="Arial"/>
          <w:sz w:val="18"/>
          <w:szCs w:val="18"/>
        </w:rPr>
        <w:t>Destarte</w:t>
      </w:r>
      <w:r w:rsidRPr="00336BFC">
        <w:rPr>
          <w:rFonts w:ascii="Arial" w:hAnsi="Arial" w:cs="Arial"/>
          <w:sz w:val="18"/>
          <w:szCs w:val="18"/>
        </w:rPr>
        <w:t>, foram produzidos o Plano de Suprimento aos Requisitos de Energia Elétrica até o ano 2000 (Plano 2000) e o Plano Nacional de Energia Elétrica 1987-2010 (Plano 2010). Este último envolveu a participação, dentro do espírito de redemocratização do país, tanto de concessionárias de energia elétrica quanto entidades públicas e privadas (3). Cabe observar que a questão ambiental</w:t>
      </w:r>
      <w:r w:rsidR="00DE46D1">
        <w:rPr>
          <w:rFonts w:ascii="Arial" w:hAnsi="Arial" w:cs="Arial"/>
          <w:sz w:val="18"/>
          <w:szCs w:val="18"/>
        </w:rPr>
        <w:t>,</w:t>
      </w:r>
      <w:r w:rsidRPr="00336BFC">
        <w:rPr>
          <w:rFonts w:ascii="Arial" w:hAnsi="Arial" w:cs="Arial"/>
          <w:sz w:val="18"/>
          <w:szCs w:val="18"/>
        </w:rPr>
        <w:t xml:space="preserve"> inserida no Plano 2010</w:t>
      </w:r>
      <w:r w:rsidR="00DE46D1">
        <w:rPr>
          <w:rFonts w:ascii="Arial" w:hAnsi="Arial" w:cs="Arial"/>
          <w:sz w:val="18"/>
          <w:szCs w:val="18"/>
        </w:rPr>
        <w:t>,</w:t>
      </w:r>
      <w:r w:rsidRPr="00336BFC">
        <w:rPr>
          <w:rFonts w:ascii="Arial" w:hAnsi="Arial" w:cs="Arial"/>
          <w:sz w:val="18"/>
          <w:szCs w:val="18"/>
        </w:rPr>
        <w:t xml:space="preserve"> contribuiu posteriormente para a criação do Comitê Coordenador das Atividades de Meio Ambiente (Comase).</w:t>
      </w:r>
    </w:p>
    <w:p w:rsidR="00A72759" w:rsidRPr="00336BFC" w:rsidRDefault="00A72759" w:rsidP="00AF4390">
      <w:pPr>
        <w:autoSpaceDE w:val="0"/>
        <w:autoSpaceDN w:val="0"/>
        <w:adjustRightInd w:val="0"/>
        <w:spacing w:line="360" w:lineRule="auto"/>
        <w:jc w:val="both"/>
        <w:rPr>
          <w:rFonts w:ascii="Arial" w:hAnsi="Arial" w:cs="Arial"/>
          <w:sz w:val="18"/>
          <w:szCs w:val="18"/>
        </w:rPr>
      </w:pPr>
    </w:p>
    <w:p w:rsidR="00DE46D1" w:rsidRDefault="007D00E0" w:rsidP="00AF4390">
      <w:pPr>
        <w:autoSpaceDE w:val="0"/>
        <w:autoSpaceDN w:val="0"/>
        <w:adjustRightInd w:val="0"/>
        <w:spacing w:line="360" w:lineRule="auto"/>
        <w:jc w:val="both"/>
        <w:rPr>
          <w:rFonts w:ascii="Arial" w:hAnsi="Arial" w:cs="Arial"/>
          <w:sz w:val="18"/>
          <w:szCs w:val="18"/>
        </w:rPr>
      </w:pPr>
      <w:r>
        <w:rPr>
          <w:rFonts w:ascii="Arial" w:hAnsi="Arial" w:cs="Arial"/>
          <w:sz w:val="18"/>
          <w:szCs w:val="18"/>
        </w:rPr>
        <w:t>Além de desenvolver critérios sofisticados de suprimento cabe acrescentar mais dois produtos implementados pelo GCPS:</w:t>
      </w:r>
      <w:r w:rsidR="00DE46D1">
        <w:rPr>
          <w:rFonts w:ascii="Arial" w:hAnsi="Arial" w:cs="Arial"/>
          <w:sz w:val="18"/>
          <w:szCs w:val="18"/>
        </w:rPr>
        <w:t xml:space="preserve"> </w:t>
      </w:r>
    </w:p>
    <w:p w:rsidR="00DE46D1" w:rsidRDefault="00DE46D1" w:rsidP="00AF4390">
      <w:pPr>
        <w:autoSpaceDE w:val="0"/>
        <w:autoSpaceDN w:val="0"/>
        <w:adjustRightInd w:val="0"/>
        <w:spacing w:line="360" w:lineRule="auto"/>
        <w:jc w:val="both"/>
        <w:rPr>
          <w:rFonts w:ascii="Arial" w:hAnsi="Arial" w:cs="Arial"/>
          <w:sz w:val="18"/>
          <w:szCs w:val="18"/>
        </w:rPr>
      </w:pPr>
    </w:p>
    <w:p w:rsidR="007D00E0" w:rsidRDefault="007D00E0" w:rsidP="00AF4390">
      <w:pPr>
        <w:pStyle w:val="PargrafodaLista"/>
        <w:autoSpaceDE w:val="0"/>
        <w:autoSpaceDN w:val="0"/>
        <w:adjustRightInd w:val="0"/>
        <w:spacing w:line="360" w:lineRule="auto"/>
        <w:ind w:left="0"/>
        <w:jc w:val="both"/>
        <w:rPr>
          <w:rFonts w:ascii="Arial" w:hAnsi="Arial" w:cs="Arial"/>
          <w:sz w:val="18"/>
          <w:szCs w:val="18"/>
        </w:rPr>
      </w:pPr>
      <w:r>
        <w:rPr>
          <w:rFonts w:ascii="Arial" w:hAnsi="Arial" w:cs="Arial"/>
          <w:sz w:val="18"/>
          <w:szCs w:val="18"/>
        </w:rPr>
        <w:t>i) Abordagem Marginalista (cf</w:t>
      </w:r>
      <w:r w:rsidR="00AF4390">
        <w:rPr>
          <w:rFonts w:ascii="Arial" w:hAnsi="Arial" w:cs="Arial"/>
          <w:sz w:val="18"/>
          <w:szCs w:val="18"/>
        </w:rPr>
        <w:t>.</w:t>
      </w:r>
      <w:r>
        <w:rPr>
          <w:rFonts w:ascii="Arial" w:hAnsi="Arial" w:cs="Arial"/>
          <w:sz w:val="18"/>
          <w:szCs w:val="18"/>
        </w:rPr>
        <w:t xml:space="preserve"> </w:t>
      </w:r>
      <w:r w:rsidR="00AF4390">
        <w:rPr>
          <w:rFonts w:ascii="Arial" w:hAnsi="Arial" w:cs="Arial"/>
          <w:sz w:val="18"/>
          <w:szCs w:val="18"/>
        </w:rPr>
        <w:t>4</w:t>
      </w:r>
      <w:r>
        <w:rPr>
          <w:rFonts w:ascii="Arial" w:hAnsi="Arial" w:cs="Arial"/>
          <w:sz w:val="18"/>
          <w:szCs w:val="18"/>
        </w:rPr>
        <w:t>);</w:t>
      </w:r>
    </w:p>
    <w:p w:rsidR="00AF4390" w:rsidRDefault="00AF4390" w:rsidP="00AF4390">
      <w:pPr>
        <w:pStyle w:val="PargrafodaLista"/>
        <w:autoSpaceDE w:val="0"/>
        <w:autoSpaceDN w:val="0"/>
        <w:adjustRightInd w:val="0"/>
        <w:spacing w:line="360" w:lineRule="auto"/>
        <w:ind w:left="0"/>
        <w:jc w:val="both"/>
        <w:rPr>
          <w:rFonts w:ascii="Arial" w:hAnsi="Arial" w:cs="Arial"/>
          <w:sz w:val="18"/>
          <w:szCs w:val="18"/>
        </w:rPr>
      </w:pPr>
    </w:p>
    <w:p w:rsidR="00A72759" w:rsidRDefault="007D00E0" w:rsidP="00AF4390">
      <w:pPr>
        <w:pStyle w:val="PargrafodaLista"/>
        <w:autoSpaceDE w:val="0"/>
        <w:autoSpaceDN w:val="0"/>
        <w:adjustRightInd w:val="0"/>
        <w:spacing w:line="360" w:lineRule="auto"/>
        <w:ind w:left="0"/>
        <w:jc w:val="both"/>
        <w:rPr>
          <w:rFonts w:ascii="Arial" w:hAnsi="Arial" w:cs="Arial"/>
          <w:sz w:val="18"/>
          <w:szCs w:val="18"/>
        </w:rPr>
      </w:pPr>
      <w:r>
        <w:rPr>
          <w:rFonts w:ascii="Arial" w:hAnsi="Arial" w:cs="Arial"/>
          <w:sz w:val="18"/>
          <w:szCs w:val="18"/>
        </w:rPr>
        <w:t xml:space="preserve">ii) </w:t>
      </w:r>
      <w:r w:rsidR="00DE46D1">
        <w:rPr>
          <w:rFonts w:ascii="Arial" w:hAnsi="Arial" w:cs="Arial"/>
          <w:sz w:val="18"/>
          <w:szCs w:val="18"/>
        </w:rPr>
        <w:t>D</w:t>
      </w:r>
      <w:r w:rsidR="00A72759" w:rsidRPr="00DE46D1">
        <w:rPr>
          <w:rFonts w:ascii="Arial" w:hAnsi="Arial" w:cs="Arial"/>
          <w:sz w:val="18"/>
          <w:szCs w:val="18"/>
        </w:rPr>
        <w:t>imensionamento energético-econômico de um empreendimento hidroelétrico</w:t>
      </w:r>
      <w:r>
        <w:rPr>
          <w:rFonts w:ascii="Arial" w:hAnsi="Arial" w:cs="Arial"/>
          <w:sz w:val="18"/>
          <w:szCs w:val="18"/>
        </w:rPr>
        <w:t xml:space="preserve"> (cf</w:t>
      </w:r>
      <w:r w:rsidR="00AF4390">
        <w:rPr>
          <w:rFonts w:ascii="Arial" w:hAnsi="Arial" w:cs="Arial"/>
          <w:sz w:val="18"/>
          <w:szCs w:val="18"/>
        </w:rPr>
        <w:t>.</w:t>
      </w:r>
      <w:r>
        <w:rPr>
          <w:rFonts w:ascii="Arial" w:hAnsi="Arial" w:cs="Arial"/>
          <w:sz w:val="18"/>
          <w:szCs w:val="18"/>
        </w:rPr>
        <w:t xml:space="preserve"> </w:t>
      </w:r>
      <w:r w:rsidR="00AF4390">
        <w:rPr>
          <w:rFonts w:ascii="Arial" w:hAnsi="Arial" w:cs="Arial"/>
          <w:sz w:val="18"/>
          <w:szCs w:val="18"/>
        </w:rPr>
        <w:t>6</w:t>
      </w:r>
      <w:r>
        <w:rPr>
          <w:rFonts w:ascii="Arial" w:hAnsi="Arial" w:cs="Arial"/>
          <w:sz w:val="18"/>
          <w:szCs w:val="18"/>
        </w:rPr>
        <w:t>).</w:t>
      </w:r>
    </w:p>
    <w:p w:rsidR="007D00E0" w:rsidRPr="00336BFC" w:rsidRDefault="007D00E0" w:rsidP="007D00E0">
      <w:pPr>
        <w:pStyle w:val="PargrafodaLista"/>
        <w:autoSpaceDE w:val="0"/>
        <w:autoSpaceDN w:val="0"/>
        <w:adjustRightInd w:val="0"/>
        <w:ind w:left="1080"/>
        <w:jc w:val="both"/>
        <w:rPr>
          <w:rFonts w:ascii="Arial" w:hAnsi="Arial" w:cs="Arial"/>
          <w:sz w:val="18"/>
          <w:szCs w:val="18"/>
        </w:rPr>
      </w:pPr>
    </w:p>
    <w:p w:rsidR="00A72759" w:rsidRPr="006027B1" w:rsidRDefault="00A72759" w:rsidP="006027B1">
      <w:pPr>
        <w:pStyle w:val="Ttulo2"/>
        <w:rPr>
          <w:sz w:val="18"/>
          <w:szCs w:val="18"/>
        </w:rPr>
      </w:pPr>
      <w:r w:rsidRPr="006027B1">
        <w:rPr>
          <w:sz w:val="18"/>
          <w:szCs w:val="18"/>
          <w:lang w:eastAsia="af-ZA"/>
        </w:rPr>
        <w:lastRenderedPageBreak/>
        <w:t xml:space="preserve">2.5   </w:t>
      </w:r>
      <w:r w:rsidRPr="006027B1">
        <w:rPr>
          <w:sz w:val="18"/>
          <w:szCs w:val="18"/>
        </w:rPr>
        <w:t>Fase de Transição (década de 1990): Diplomas Legais, Declínio da Eletrobrás, Extinção do GCPS e o Ambiente de Incerteza</w:t>
      </w:r>
    </w:p>
    <w:p w:rsidR="00A72759" w:rsidRPr="00336BFC" w:rsidRDefault="00A72759" w:rsidP="00336BFC">
      <w:pPr>
        <w:autoSpaceDE w:val="0"/>
        <w:autoSpaceDN w:val="0"/>
        <w:adjustRightInd w:val="0"/>
        <w:jc w:val="both"/>
        <w:rPr>
          <w:rFonts w:ascii="Arial" w:hAnsi="Arial" w:cs="Arial"/>
          <w:sz w:val="18"/>
          <w:szCs w:val="18"/>
        </w:rPr>
      </w:pPr>
    </w:p>
    <w:p w:rsidR="00A72759" w:rsidRPr="00336BFC" w:rsidRDefault="00A72759" w:rsidP="00AF4390">
      <w:pPr>
        <w:autoSpaceDE w:val="0"/>
        <w:autoSpaceDN w:val="0"/>
        <w:adjustRightInd w:val="0"/>
        <w:spacing w:line="360" w:lineRule="auto"/>
        <w:jc w:val="both"/>
        <w:rPr>
          <w:rFonts w:ascii="Arial" w:hAnsi="Arial" w:cs="Arial"/>
          <w:sz w:val="18"/>
          <w:szCs w:val="18"/>
        </w:rPr>
      </w:pPr>
      <w:r w:rsidRPr="00336BFC">
        <w:rPr>
          <w:rFonts w:ascii="Arial" w:hAnsi="Arial" w:cs="Arial"/>
          <w:sz w:val="18"/>
          <w:szCs w:val="18"/>
        </w:rPr>
        <w:t>O questionamento</w:t>
      </w:r>
      <w:r w:rsidR="007D00E0">
        <w:rPr>
          <w:rFonts w:ascii="Arial" w:hAnsi="Arial" w:cs="Arial"/>
          <w:sz w:val="18"/>
          <w:szCs w:val="18"/>
        </w:rPr>
        <w:t>,</w:t>
      </w:r>
      <w:r w:rsidRPr="00336BFC">
        <w:rPr>
          <w:rFonts w:ascii="Arial" w:hAnsi="Arial" w:cs="Arial"/>
          <w:sz w:val="18"/>
          <w:szCs w:val="18"/>
        </w:rPr>
        <w:t xml:space="preserve"> por parte dos organismos multilaterais (Banco Mundial e Banco Interamericano</w:t>
      </w:r>
      <w:r w:rsidRPr="00336BFC">
        <w:rPr>
          <w:rFonts w:ascii="Arial" w:hAnsi="Arial" w:cs="Arial"/>
          <w:iCs/>
          <w:sz w:val="18"/>
          <w:szCs w:val="18"/>
        </w:rPr>
        <w:t>)</w:t>
      </w:r>
      <w:r w:rsidR="007D00E0">
        <w:rPr>
          <w:rFonts w:ascii="Arial" w:hAnsi="Arial" w:cs="Arial"/>
          <w:iCs/>
          <w:sz w:val="18"/>
          <w:szCs w:val="18"/>
        </w:rPr>
        <w:t>,</w:t>
      </w:r>
      <w:r w:rsidRPr="00336BFC">
        <w:rPr>
          <w:rFonts w:ascii="Arial" w:hAnsi="Arial" w:cs="Arial"/>
          <w:sz w:val="18"/>
          <w:szCs w:val="18"/>
        </w:rPr>
        <w:t xml:space="preserve"> relativo à integração vertical e a estrutura de mercado monopolista existentes nos setores de infraestrutura dos países em desenvolvimento proporcionou a abertura, na década de 1990, dos mesmos</w:t>
      </w:r>
      <w:r w:rsidR="00BB22AC">
        <w:rPr>
          <w:rFonts w:ascii="Arial" w:hAnsi="Arial" w:cs="Arial"/>
          <w:sz w:val="18"/>
          <w:szCs w:val="18"/>
        </w:rPr>
        <w:t xml:space="preserve"> ao capital privado. Além do mais</w:t>
      </w:r>
      <w:r w:rsidRPr="00336BFC">
        <w:rPr>
          <w:rFonts w:ascii="Arial" w:hAnsi="Arial" w:cs="Arial"/>
          <w:sz w:val="18"/>
          <w:szCs w:val="18"/>
        </w:rPr>
        <w:t>, a forma de captação de recursos passa de Mercado de Crédito (Créditos Bancários) para Mercado de Capitais (Emissão de Títulos Financeiros). Na primeira metade da década de 1990</w:t>
      </w:r>
      <w:r w:rsidR="007D00E0">
        <w:rPr>
          <w:rFonts w:ascii="Arial" w:hAnsi="Arial" w:cs="Arial"/>
          <w:sz w:val="18"/>
          <w:szCs w:val="18"/>
        </w:rPr>
        <w:t xml:space="preserve"> </w:t>
      </w:r>
      <w:r w:rsidRPr="00336BFC">
        <w:rPr>
          <w:rFonts w:ascii="Arial" w:hAnsi="Arial" w:cs="Arial"/>
          <w:sz w:val="18"/>
          <w:szCs w:val="18"/>
        </w:rPr>
        <w:t xml:space="preserve">foram </w:t>
      </w:r>
      <w:r w:rsidR="00BB22AC">
        <w:rPr>
          <w:rFonts w:ascii="Arial" w:hAnsi="Arial" w:cs="Arial"/>
          <w:sz w:val="18"/>
          <w:szCs w:val="18"/>
        </w:rPr>
        <w:t>colcoca</w:t>
      </w:r>
      <w:r w:rsidRPr="00336BFC">
        <w:rPr>
          <w:rFonts w:ascii="Arial" w:hAnsi="Arial" w:cs="Arial"/>
          <w:sz w:val="18"/>
          <w:szCs w:val="18"/>
        </w:rPr>
        <w:t>dos vários diplomas legais para a IEEB</w:t>
      </w:r>
      <w:r w:rsidR="007D00E0">
        <w:rPr>
          <w:rFonts w:ascii="Arial" w:hAnsi="Arial" w:cs="Arial"/>
          <w:sz w:val="18"/>
          <w:szCs w:val="18"/>
        </w:rPr>
        <w:t>,</w:t>
      </w:r>
      <w:r w:rsidRPr="00336BFC">
        <w:rPr>
          <w:rFonts w:ascii="Arial" w:hAnsi="Arial" w:cs="Arial"/>
          <w:sz w:val="18"/>
          <w:szCs w:val="18"/>
        </w:rPr>
        <w:t xml:space="preserve"> cujo objetivo final era de se chegar a livre comercialização de energia elétrica. Na segunda metade da década de 1990</w:t>
      </w:r>
      <w:r w:rsidR="007D00E0">
        <w:rPr>
          <w:rFonts w:ascii="Arial" w:hAnsi="Arial" w:cs="Arial"/>
          <w:sz w:val="18"/>
          <w:szCs w:val="18"/>
        </w:rPr>
        <w:t xml:space="preserve"> </w:t>
      </w:r>
      <w:r w:rsidRPr="00336BFC">
        <w:rPr>
          <w:rFonts w:ascii="Arial" w:hAnsi="Arial" w:cs="Arial"/>
          <w:sz w:val="18"/>
          <w:szCs w:val="18"/>
        </w:rPr>
        <w:t xml:space="preserve">foi contratado um consórcio, liderado pela Cooper´s e Lybrand, que realizou um estudo abrangente sobre a reforma do setor elétrico chamado de Projeto de Reestruturação do Setor Elétrico Brasileiro (Projeto RE-SEB). A implementação do Projeto RE-SEB transferia para o setor privado a responsabilidade da operação e investimento na IEEB, cabendo ao governo federal a elaboração de políticas energéticas e de regulamentação. </w:t>
      </w:r>
      <w:r w:rsidR="00BB22AC">
        <w:rPr>
          <w:rFonts w:ascii="Arial" w:hAnsi="Arial" w:cs="Arial"/>
          <w:sz w:val="18"/>
          <w:szCs w:val="18"/>
        </w:rPr>
        <w:t>Desta maneira</w:t>
      </w:r>
      <w:r w:rsidRPr="00336BFC">
        <w:rPr>
          <w:rFonts w:ascii="Arial" w:hAnsi="Arial" w:cs="Arial"/>
          <w:sz w:val="18"/>
          <w:szCs w:val="18"/>
        </w:rPr>
        <w:t xml:space="preserve">, tentava-se efetuar a transição entre o velho paradigma representado pelo “Estado Empresário” e </w:t>
      </w:r>
      <w:r w:rsidR="00BB22AC">
        <w:rPr>
          <w:rFonts w:ascii="Arial" w:hAnsi="Arial" w:cs="Arial"/>
          <w:sz w:val="18"/>
          <w:szCs w:val="18"/>
        </w:rPr>
        <w:t>aquele em que</w:t>
      </w:r>
      <w:r w:rsidRPr="00336BFC">
        <w:rPr>
          <w:rFonts w:ascii="Arial" w:hAnsi="Arial" w:cs="Arial"/>
          <w:sz w:val="18"/>
          <w:szCs w:val="18"/>
        </w:rPr>
        <w:t xml:space="preserve"> o Estado teria o papel de indutor da competição nos segmentos de geração e comercialização</w:t>
      </w:r>
      <w:r w:rsidRPr="00336BFC">
        <w:rPr>
          <w:rFonts w:ascii="Arial" w:hAnsi="Arial" w:cs="Arial"/>
          <w:bCs/>
          <w:sz w:val="18"/>
          <w:szCs w:val="18"/>
        </w:rPr>
        <w:t xml:space="preserve">. </w:t>
      </w:r>
      <w:r w:rsidRPr="00336BFC">
        <w:rPr>
          <w:rFonts w:ascii="Arial" w:hAnsi="Arial" w:cs="Arial"/>
          <w:sz w:val="18"/>
          <w:szCs w:val="18"/>
        </w:rPr>
        <w:t xml:space="preserve">Com referência ao </w:t>
      </w:r>
      <w:r w:rsidR="00BB22AC">
        <w:rPr>
          <w:rFonts w:ascii="Arial" w:hAnsi="Arial" w:cs="Arial"/>
          <w:sz w:val="18"/>
          <w:szCs w:val="18"/>
        </w:rPr>
        <w:t>PEGEE</w:t>
      </w:r>
      <w:r w:rsidRPr="00336BFC">
        <w:rPr>
          <w:rFonts w:ascii="Arial" w:hAnsi="Arial" w:cs="Arial"/>
          <w:sz w:val="18"/>
          <w:szCs w:val="18"/>
        </w:rPr>
        <w:t>, o RE-SEB recomendava a passagem de um contexto determinativo para indicativo e a otimização energética do sistema separada de questões relacionadas ao fluxo financeiro entre os agentes. A Eletrobrás que outrora se localizava no topo de uma estrutura de governança hierarquizada que proporcionava a concentração de diversas atividades (operação, planejamento e financiamento) e até mesmo a captura do órgão regulador perdia, no final da década de 1990, tanto a operação para o Operador Nacional do Sistema Elétrico (ONS) quanto o planejamento, com a extinção do GCPS e a transferência dessa atividade para o Comitê Coordenador de Planejamento da Expansão (CCPE) vinculado à Secretaria Nacional de Energia. A passagem abrupta do GCPS para o CCPE criou um vazio na coordenação dos trabalhos</w:t>
      </w:r>
      <w:r w:rsidR="00AF4390">
        <w:rPr>
          <w:rFonts w:ascii="Arial" w:hAnsi="Arial" w:cs="Arial"/>
          <w:sz w:val="18"/>
          <w:szCs w:val="18"/>
        </w:rPr>
        <w:t>,</w:t>
      </w:r>
      <w:r w:rsidRPr="00336BFC">
        <w:rPr>
          <w:rFonts w:ascii="Arial" w:hAnsi="Arial" w:cs="Arial"/>
          <w:sz w:val="18"/>
          <w:szCs w:val="18"/>
        </w:rPr>
        <w:t xml:space="preserve"> principalmente em relação aos aspectos metodológicos. Este ficou sob a coordenação do Ministério de Minas e Energia e orientação do Conselho de Política Energética (CNPE), criado em 1998, com função de ser um órgão </w:t>
      </w:r>
      <w:r w:rsidRPr="00336BFC">
        <w:rPr>
          <w:rFonts w:ascii="Arial" w:hAnsi="Arial" w:cs="Arial"/>
          <w:color w:val="000000"/>
          <w:sz w:val="18"/>
          <w:szCs w:val="18"/>
          <w:shd w:val="clear" w:color="auto" w:fill="FFFFFF"/>
        </w:rPr>
        <w:t xml:space="preserve">de assessoramento do Presidente da República para formulação de políticas e diretrizes de energia. Um fator de destaque foi a elaboração do Plano 2015, com coordenação da Eletrobras, </w:t>
      </w:r>
      <w:r w:rsidRPr="00336BFC">
        <w:rPr>
          <w:rFonts w:ascii="Arial" w:hAnsi="Arial" w:cs="Arial"/>
          <w:sz w:val="18"/>
          <w:szCs w:val="18"/>
        </w:rPr>
        <w:t xml:space="preserve">cujos seminários temáticos (metodologia de planejamento, oferta de energia elétrica, transmissão, distribuição, meio ambiente, política industrial, etc.) tiveram a presença de profissionais do setor, da academia e da sociedade organizada. </w:t>
      </w:r>
    </w:p>
    <w:p w:rsidR="00A72759" w:rsidRPr="00336BFC" w:rsidRDefault="00A72759" w:rsidP="00AF4390">
      <w:pPr>
        <w:autoSpaceDE w:val="0"/>
        <w:autoSpaceDN w:val="0"/>
        <w:adjustRightInd w:val="0"/>
        <w:spacing w:line="360" w:lineRule="auto"/>
        <w:jc w:val="both"/>
        <w:rPr>
          <w:rFonts w:ascii="Arial" w:hAnsi="Arial" w:cs="Arial"/>
          <w:sz w:val="18"/>
          <w:szCs w:val="18"/>
        </w:rPr>
      </w:pPr>
    </w:p>
    <w:p w:rsidR="00BB22AC" w:rsidRDefault="00A72759" w:rsidP="00AF4390">
      <w:pPr>
        <w:autoSpaceDE w:val="0"/>
        <w:autoSpaceDN w:val="0"/>
        <w:adjustRightInd w:val="0"/>
        <w:spacing w:line="360" w:lineRule="auto"/>
        <w:jc w:val="both"/>
        <w:rPr>
          <w:rFonts w:ascii="Arial" w:hAnsi="Arial" w:cs="Arial"/>
          <w:sz w:val="18"/>
          <w:szCs w:val="18"/>
        </w:rPr>
      </w:pPr>
      <w:r w:rsidRPr="00336BFC">
        <w:rPr>
          <w:rFonts w:ascii="Arial" w:hAnsi="Arial" w:cs="Arial"/>
          <w:sz w:val="18"/>
          <w:szCs w:val="18"/>
        </w:rPr>
        <w:t>Em termos de implementação de metodologias no PEGEE</w:t>
      </w:r>
      <w:r w:rsidR="00BB22AC">
        <w:rPr>
          <w:rFonts w:ascii="Arial" w:hAnsi="Arial" w:cs="Arial"/>
          <w:sz w:val="18"/>
          <w:szCs w:val="18"/>
        </w:rPr>
        <w:t xml:space="preserve"> (cf </w:t>
      </w:r>
      <w:r w:rsidR="00AF4390">
        <w:rPr>
          <w:rFonts w:ascii="Arial" w:hAnsi="Arial" w:cs="Arial"/>
          <w:sz w:val="18"/>
          <w:szCs w:val="18"/>
        </w:rPr>
        <w:t>3</w:t>
      </w:r>
      <w:r w:rsidR="00BB22AC">
        <w:rPr>
          <w:rFonts w:ascii="Arial" w:hAnsi="Arial" w:cs="Arial"/>
          <w:sz w:val="18"/>
          <w:szCs w:val="18"/>
        </w:rPr>
        <w:t>)</w:t>
      </w:r>
      <w:r w:rsidRPr="00336BFC">
        <w:rPr>
          <w:rFonts w:ascii="Arial" w:hAnsi="Arial" w:cs="Arial"/>
          <w:sz w:val="18"/>
          <w:szCs w:val="18"/>
        </w:rPr>
        <w:t>, cabe destacar</w:t>
      </w:r>
      <w:r w:rsidR="00BB22AC">
        <w:rPr>
          <w:rFonts w:ascii="Arial" w:hAnsi="Arial" w:cs="Arial"/>
          <w:sz w:val="18"/>
          <w:szCs w:val="18"/>
        </w:rPr>
        <w:t>:</w:t>
      </w:r>
    </w:p>
    <w:p w:rsidR="00096750" w:rsidRDefault="00096750" w:rsidP="00AF4390">
      <w:pPr>
        <w:autoSpaceDE w:val="0"/>
        <w:autoSpaceDN w:val="0"/>
        <w:adjustRightInd w:val="0"/>
        <w:spacing w:line="360" w:lineRule="auto"/>
        <w:jc w:val="both"/>
        <w:rPr>
          <w:rFonts w:ascii="Arial" w:hAnsi="Arial" w:cs="Arial"/>
          <w:sz w:val="18"/>
          <w:szCs w:val="18"/>
        </w:rPr>
      </w:pPr>
    </w:p>
    <w:p w:rsidR="006027B1" w:rsidRDefault="006027B1" w:rsidP="00AF4390">
      <w:pPr>
        <w:autoSpaceDE w:val="0"/>
        <w:autoSpaceDN w:val="0"/>
        <w:adjustRightInd w:val="0"/>
        <w:spacing w:line="360" w:lineRule="auto"/>
        <w:jc w:val="both"/>
        <w:rPr>
          <w:rFonts w:ascii="Arial" w:hAnsi="Arial" w:cs="Arial"/>
          <w:sz w:val="18"/>
          <w:szCs w:val="18"/>
        </w:rPr>
      </w:pPr>
      <w:r>
        <w:rPr>
          <w:rFonts w:ascii="Arial" w:hAnsi="Arial" w:cs="Arial"/>
          <w:sz w:val="18"/>
          <w:szCs w:val="18"/>
        </w:rPr>
        <w:t xml:space="preserve">i) </w:t>
      </w:r>
      <w:r w:rsidR="001B3627">
        <w:rPr>
          <w:rFonts w:ascii="Arial" w:hAnsi="Arial" w:cs="Arial"/>
          <w:sz w:val="18"/>
          <w:szCs w:val="18"/>
        </w:rPr>
        <w:t>Ao contrário do planejamento da Operação, a u</w:t>
      </w:r>
      <w:r w:rsidR="00BB22AC" w:rsidRPr="006027B1">
        <w:rPr>
          <w:rFonts w:ascii="Arial" w:hAnsi="Arial" w:cs="Arial"/>
          <w:sz w:val="18"/>
          <w:szCs w:val="18"/>
        </w:rPr>
        <w:t>tilização da programação dinâmica estocástica dual na otimização eletroenergética</w:t>
      </w:r>
      <w:r w:rsidR="001B3627">
        <w:rPr>
          <w:rFonts w:ascii="Arial" w:hAnsi="Arial" w:cs="Arial"/>
          <w:sz w:val="18"/>
          <w:szCs w:val="18"/>
        </w:rPr>
        <w:t>, constante no modelo Newave, só veio a ser utilizada no final da década de 1990. Os estudos do PEGEE utilizavam</w:t>
      </w:r>
      <w:r w:rsidR="00BB22AC" w:rsidRPr="006027B1">
        <w:rPr>
          <w:rFonts w:ascii="Arial" w:hAnsi="Arial" w:cs="Arial"/>
          <w:sz w:val="18"/>
          <w:szCs w:val="18"/>
        </w:rPr>
        <w:t xml:space="preserve"> </w:t>
      </w:r>
      <w:r w:rsidR="001B3627">
        <w:rPr>
          <w:rFonts w:ascii="Arial" w:hAnsi="Arial" w:cs="Arial"/>
          <w:sz w:val="18"/>
          <w:szCs w:val="18"/>
        </w:rPr>
        <w:t>o modelo DHT (cf xxxx)</w:t>
      </w:r>
      <w:r w:rsidR="00AF4390">
        <w:rPr>
          <w:rFonts w:ascii="Arial" w:hAnsi="Arial" w:cs="Arial"/>
          <w:sz w:val="18"/>
          <w:szCs w:val="18"/>
        </w:rPr>
        <w:t>;</w:t>
      </w:r>
    </w:p>
    <w:p w:rsidR="001B3627" w:rsidRPr="006027B1" w:rsidRDefault="001B3627" w:rsidP="00AF4390">
      <w:pPr>
        <w:autoSpaceDE w:val="0"/>
        <w:autoSpaceDN w:val="0"/>
        <w:adjustRightInd w:val="0"/>
        <w:spacing w:line="360" w:lineRule="auto"/>
        <w:jc w:val="both"/>
        <w:rPr>
          <w:rFonts w:ascii="Arial" w:hAnsi="Arial" w:cs="Arial"/>
          <w:bCs/>
          <w:sz w:val="18"/>
          <w:szCs w:val="18"/>
        </w:rPr>
      </w:pPr>
    </w:p>
    <w:p w:rsidR="00BB22AC" w:rsidRDefault="006027B1" w:rsidP="00AF4390">
      <w:pPr>
        <w:autoSpaceDE w:val="0"/>
        <w:autoSpaceDN w:val="0"/>
        <w:adjustRightInd w:val="0"/>
        <w:spacing w:line="360" w:lineRule="auto"/>
        <w:jc w:val="both"/>
        <w:rPr>
          <w:rFonts w:ascii="Arial" w:hAnsi="Arial" w:cs="Arial"/>
          <w:sz w:val="18"/>
          <w:szCs w:val="18"/>
        </w:rPr>
      </w:pPr>
      <w:r>
        <w:rPr>
          <w:rFonts w:ascii="Arial" w:hAnsi="Arial" w:cs="Arial"/>
          <w:sz w:val="18"/>
          <w:szCs w:val="18"/>
        </w:rPr>
        <w:t xml:space="preserve">ii) </w:t>
      </w:r>
      <w:r w:rsidR="00BB22AC" w:rsidRPr="006027B1">
        <w:rPr>
          <w:rFonts w:ascii="Arial" w:hAnsi="Arial" w:cs="Arial"/>
          <w:sz w:val="18"/>
          <w:szCs w:val="18"/>
        </w:rPr>
        <w:t>Tentativa de implementar um</w:t>
      </w:r>
      <w:r w:rsidR="00A72759" w:rsidRPr="006027B1">
        <w:rPr>
          <w:rFonts w:ascii="Arial" w:hAnsi="Arial" w:cs="Arial"/>
          <w:sz w:val="18"/>
          <w:szCs w:val="18"/>
        </w:rPr>
        <w:t xml:space="preserve"> planejamento sob incerteza</w:t>
      </w:r>
      <w:r w:rsidR="00BB22AC" w:rsidRPr="006027B1">
        <w:rPr>
          <w:rFonts w:ascii="Arial" w:hAnsi="Arial" w:cs="Arial"/>
          <w:sz w:val="18"/>
          <w:szCs w:val="18"/>
        </w:rPr>
        <w:t>;</w:t>
      </w:r>
    </w:p>
    <w:p w:rsidR="006027B1" w:rsidRPr="006027B1" w:rsidRDefault="006027B1" w:rsidP="00AF4390">
      <w:pPr>
        <w:autoSpaceDE w:val="0"/>
        <w:autoSpaceDN w:val="0"/>
        <w:adjustRightInd w:val="0"/>
        <w:spacing w:line="360" w:lineRule="auto"/>
        <w:jc w:val="both"/>
        <w:rPr>
          <w:rFonts w:ascii="Arial" w:hAnsi="Arial" w:cs="Arial"/>
          <w:bCs/>
          <w:sz w:val="18"/>
          <w:szCs w:val="18"/>
        </w:rPr>
      </w:pPr>
    </w:p>
    <w:p w:rsidR="00096750" w:rsidRDefault="006027B1" w:rsidP="00AF4390">
      <w:pPr>
        <w:pStyle w:val="PargrafodaLista"/>
        <w:autoSpaceDE w:val="0"/>
        <w:autoSpaceDN w:val="0"/>
        <w:adjustRightInd w:val="0"/>
        <w:spacing w:line="360" w:lineRule="auto"/>
        <w:ind w:left="0"/>
        <w:jc w:val="both"/>
        <w:rPr>
          <w:rFonts w:ascii="Arial" w:hAnsi="Arial" w:cs="Arial"/>
          <w:sz w:val="18"/>
          <w:szCs w:val="18"/>
        </w:rPr>
      </w:pPr>
      <w:r>
        <w:rPr>
          <w:rFonts w:ascii="Arial" w:hAnsi="Arial" w:cs="Arial"/>
          <w:sz w:val="18"/>
          <w:szCs w:val="18"/>
        </w:rPr>
        <w:t xml:space="preserve">iii) </w:t>
      </w:r>
      <w:r w:rsidR="00BB22AC">
        <w:rPr>
          <w:rFonts w:ascii="Arial" w:hAnsi="Arial" w:cs="Arial"/>
          <w:sz w:val="18"/>
          <w:szCs w:val="18"/>
        </w:rPr>
        <w:t xml:space="preserve">Criação de um </w:t>
      </w:r>
      <w:r w:rsidR="00A72759" w:rsidRPr="00BB22AC">
        <w:rPr>
          <w:rFonts w:ascii="Arial" w:hAnsi="Arial" w:cs="Arial"/>
          <w:sz w:val="18"/>
          <w:szCs w:val="18"/>
        </w:rPr>
        <w:t xml:space="preserve"> Mecanismo de Realocação de Energia para UHES com despacho centralizado.</w:t>
      </w:r>
    </w:p>
    <w:p w:rsidR="00096750" w:rsidRDefault="00096750" w:rsidP="00AF4390">
      <w:pPr>
        <w:pStyle w:val="PargrafodaLista"/>
        <w:autoSpaceDE w:val="0"/>
        <w:autoSpaceDN w:val="0"/>
        <w:adjustRightInd w:val="0"/>
        <w:spacing w:line="360" w:lineRule="auto"/>
        <w:ind w:left="0"/>
        <w:jc w:val="both"/>
        <w:rPr>
          <w:rFonts w:ascii="Arial" w:hAnsi="Arial" w:cs="Arial"/>
          <w:sz w:val="18"/>
          <w:szCs w:val="18"/>
        </w:rPr>
      </w:pPr>
    </w:p>
    <w:p w:rsidR="00A72759" w:rsidRPr="00BB22AC" w:rsidRDefault="00096750" w:rsidP="00AF4390">
      <w:pPr>
        <w:pStyle w:val="PargrafodaLista"/>
        <w:autoSpaceDE w:val="0"/>
        <w:autoSpaceDN w:val="0"/>
        <w:adjustRightInd w:val="0"/>
        <w:spacing w:line="360" w:lineRule="auto"/>
        <w:ind w:left="0"/>
        <w:jc w:val="both"/>
        <w:rPr>
          <w:rFonts w:ascii="Arial" w:hAnsi="Arial" w:cs="Arial"/>
          <w:bCs/>
          <w:sz w:val="18"/>
          <w:szCs w:val="18"/>
        </w:rPr>
      </w:pPr>
      <w:r>
        <w:rPr>
          <w:rFonts w:ascii="Arial" w:hAnsi="Arial" w:cs="Arial"/>
          <w:sz w:val="18"/>
          <w:szCs w:val="18"/>
        </w:rPr>
        <w:lastRenderedPageBreak/>
        <w:t xml:space="preserve">Por fim, apesar de um direcionamento para uma maior competitividade no segmentos de geração e comercialização, cabe observar a pouca importância dada ao </w:t>
      </w:r>
      <w:r w:rsidR="00345C9E">
        <w:rPr>
          <w:rFonts w:ascii="Arial" w:hAnsi="Arial" w:cs="Arial"/>
          <w:sz w:val="18"/>
          <w:szCs w:val="18"/>
        </w:rPr>
        <w:t>P</w:t>
      </w:r>
      <w:r w:rsidR="00FF0A40">
        <w:rPr>
          <w:rFonts w:ascii="Arial" w:hAnsi="Arial" w:cs="Arial"/>
          <w:sz w:val="18"/>
          <w:szCs w:val="18"/>
        </w:rPr>
        <w:t>E</w:t>
      </w:r>
      <w:r w:rsidR="00345C9E">
        <w:rPr>
          <w:rFonts w:ascii="Arial" w:hAnsi="Arial" w:cs="Arial"/>
          <w:sz w:val="18"/>
          <w:szCs w:val="18"/>
        </w:rPr>
        <w:t>GEE</w:t>
      </w:r>
      <w:r w:rsidR="001B3627">
        <w:rPr>
          <w:rFonts w:ascii="Arial" w:hAnsi="Arial" w:cs="Arial"/>
          <w:sz w:val="18"/>
          <w:szCs w:val="18"/>
        </w:rPr>
        <w:t>. Este</w:t>
      </w:r>
      <w:r w:rsidR="00345C9E">
        <w:rPr>
          <w:rFonts w:ascii="Arial" w:hAnsi="Arial" w:cs="Arial"/>
          <w:sz w:val="18"/>
          <w:szCs w:val="18"/>
        </w:rPr>
        <w:t xml:space="preserve"> nunca mais se recuperou quando o assunto é as questões metodológicas relacionadas aos critérios de garantia de suprimento. Talvez uma das razões seja a migração</w:t>
      </w:r>
      <w:r w:rsidR="00AF4390">
        <w:rPr>
          <w:rFonts w:ascii="Arial" w:hAnsi="Arial" w:cs="Arial"/>
          <w:sz w:val="18"/>
          <w:szCs w:val="18"/>
        </w:rPr>
        <w:t xml:space="preserve"> de profissionais</w:t>
      </w:r>
      <w:r w:rsidR="001B3627">
        <w:rPr>
          <w:rFonts w:ascii="Arial" w:hAnsi="Arial" w:cs="Arial"/>
          <w:sz w:val="18"/>
          <w:szCs w:val="18"/>
        </w:rPr>
        <w:t xml:space="preserve"> para a comercialização ou para o planejamento da operação.  Estes  técnicos foram formados ou tiveram sua formação </w:t>
      </w:r>
      <w:r w:rsidR="00345C9E">
        <w:rPr>
          <w:rFonts w:ascii="Arial" w:hAnsi="Arial" w:cs="Arial"/>
          <w:sz w:val="18"/>
          <w:szCs w:val="18"/>
        </w:rPr>
        <w:t>nas fases</w:t>
      </w:r>
      <w:r w:rsidR="001B3627">
        <w:rPr>
          <w:rFonts w:ascii="Arial" w:hAnsi="Arial" w:cs="Arial"/>
          <w:sz w:val="18"/>
          <w:szCs w:val="18"/>
        </w:rPr>
        <w:t xml:space="preserve"> identificadas como</w:t>
      </w:r>
      <w:r w:rsidR="00345C9E">
        <w:rPr>
          <w:rFonts w:ascii="Arial" w:hAnsi="Arial" w:cs="Arial"/>
          <w:sz w:val="18"/>
          <w:szCs w:val="18"/>
        </w:rPr>
        <w:t xml:space="preserve"> aprimoramento</w:t>
      </w:r>
      <w:r w:rsidR="001B3627">
        <w:rPr>
          <w:rFonts w:ascii="Arial" w:hAnsi="Arial" w:cs="Arial"/>
          <w:sz w:val="18"/>
          <w:szCs w:val="18"/>
        </w:rPr>
        <w:t xml:space="preserve"> (cf. 2.3) ou áurea (cf 2.4)</w:t>
      </w:r>
      <w:r w:rsidR="006940A7">
        <w:rPr>
          <w:rFonts w:ascii="Arial" w:hAnsi="Arial" w:cs="Arial"/>
          <w:sz w:val="18"/>
          <w:szCs w:val="18"/>
        </w:rPr>
        <w:t>. Portanto, alguns desacoplamentos que aconteceram na P</w:t>
      </w:r>
      <w:r w:rsidR="00FF0A40">
        <w:rPr>
          <w:rFonts w:ascii="Arial" w:hAnsi="Arial" w:cs="Arial"/>
          <w:sz w:val="18"/>
          <w:szCs w:val="18"/>
        </w:rPr>
        <w:t>E</w:t>
      </w:r>
      <w:r w:rsidR="006940A7">
        <w:rPr>
          <w:rFonts w:ascii="Arial" w:hAnsi="Arial" w:cs="Arial"/>
          <w:sz w:val="18"/>
          <w:szCs w:val="18"/>
        </w:rPr>
        <w:t xml:space="preserve">GEE nas duas primeiras décadas do século XXI deve-se a falta de um “olhar” </w:t>
      </w:r>
      <w:r w:rsidR="004F463B">
        <w:rPr>
          <w:rFonts w:ascii="Arial" w:hAnsi="Arial" w:cs="Arial"/>
          <w:sz w:val="18"/>
          <w:szCs w:val="18"/>
        </w:rPr>
        <w:t xml:space="preserve">mais acurado </w:t>
      </w:r>
      <w:r w:rsidR="006940A7">
        <w:rPr>
          <w:rFonts w:ascii="Arial" w:hAnsi="Arial" w:cs="Arial"/>
          <w:sz w:val="18"/>
          <w:szCs w:val="18"/>
        </w:rPr>
        <w:t>aos procedimento</w:t>
      </w:r>
      <w:r w:rsidR="004F463B">
        <w:rPr>
          <w:rFonts w:ascii="Arial" w:hAnsi="Arial" w:cs="Arial"/>
          <w:sz w:val="18"/>
          <w:szCs w:val="18"/>
        </w:rPr>
        <w:t>s</w:t>
      </w:r>
      <w:r w:rsidR="006940A7">
        <w:rPr>
          <w:rFonts w:ascii="Arial" w:hAnsi="Arial" w:cs="Arial"/>
          <w:sz w:val="18"/>
          <w:szCs w:val="18"/>
        </w:rPr>
        <w:t xml:space="preserve"> desenvolvidos nas décadas de 1970 e 1980</w:t>
      </w:r>
      <w:r w:rsidR="004F463B">
        <w:rPr>
          <w:rFonts w:ascii="Arial" w:hAnsi="Arial" w:cs="Arial"/>
          <w:sz w:val="18"/>
          <w:szCs w:val="18"/>
        </w:rPr>
        <w:t xml:space="preserve"> o qual, embora com forte presença do Estado na IEEB, poderia fornecer subsídios para o devir da PGEE</w:t>
      </w:r>
      <w:r w:rsidR="006940A7">
        <w:rPr>
          <w:rFonts w:ascii="Arial" w:hAnsi="Arial" w:cs="Arial"/>
          <w:sz w:val="18"/>
          <w:szCs w:val="18"/>
        </w:rPr>
        <w:t>. Entretanto, não existia uma massa crítica que pudesse orientar essa volta. Isto implicou em misturas de procedimentos que são mutuamente exclusivos (cf</w:t>
      </w:r>
      <w:r w:rsidR="00AF4390">
        <w:rPr>
          <w:rFonts w:ascii="Arial" w:hAnsi="Arial" w:cs="Arial"/>
          <w:sz w:val="18"/>
          <w:szCs w:val="18"/>
        </w:rPr>
        <w:t>.</w:t>
      </w:r>
      <w:r w:rsidR="006940A7">
        <w:rPr>
          <w:rFonts w:ascii="Arial" w:hAnsi="Arial" w:cs="Arial"/>
          <w:sz w:val="18"/>
          <w:szCs w:val="18"/>
        </w:rPr>
        <w:t xml:space="preserve"> </w:t>
      </w:r>
      <w:r w:rsidR="00AF4390">
        <w:rPr>
          <w:rFonts w:ascii="Arial" w:hAnsi="Arial" w:cs="Arial"/>
          <w:sz w:val="18"/>
          <w:szCs w:val="18"/>
        </w:rPr>
        <w:t>3 e 4</w:t>
      </w:r>
      <w:r w:rsidR="006940A7">
        <w:rPr>
          <w:rFonts w:ascii="Arial" w:hAnsi="Arial" w:cs="Arial"/>
          <w:sz w:val="18"/>
          <w:szCs w:val="18"/>
        </w:rPr>
        <w:t>).</w:t>
      </w:r>
    </w:p>
    <w:p w:rsidR="00A72759" w:rsidRPr="00336BFC" w:rsidRDefault="00A72759" w:rsidP="00336BFC">
      <w:pPr>
        <w:autoSpaceDE w:val="0"/>
        <w:autoSpaceDN w:val="0"/>
        <w:adjustRightInd w:val="0"/>
        <w:jc w:val="both"/>
        <w:rPr>
          <w:rFonts w:ascii="Arial" w:hAnsi="Arial" w:cs="Arial"/>
          <w:bCs/>
          <w:sz w:val="18"/>
          <w:szCs w:val="18"/>
        </w:rPr>
      </w:pPr>
    </w:p>
    <w:p w:rsidR="00A72759" w:rsidRPr="006940A7" w:rsidRDefault="00A72759" w:rsidP="006940A7">
      <w:pPr>
        <w:pStyle w:val="Ttulo2"/>
        <w:rPr>
          <w:sz w:val="18"/>
          <w:szCs w:val="18"/>
        </w:rPr>
      </w:pPr>
      <w:r w:rsidRPr="006940A7">
        <w:rPr>
          <w:sz w:val="18"/>
          <w:szCs w:val="18"/>
          <w:lang w:eastAsia="af-ZA"/>
        </w:rPr>
        <w:t xml:space="preserve">2.6   </w:t>
      </w:r>
      <w:r w:rsidRPr="006940A7">
        <w:rPr>
          <w:sz w:val="18"/>
          <w:szCs w:val="18"/>
        </w:rPr>
        <w:t>Fase de Reflexão (2000-200</w:t>
      </w:r>
      <w:r w:rsidR="006027B1" w:rsidRPr="006940A7">
        <w:rPr>
          <w:sz w:val="18"/>
          <w:szCs w:val="18"/>
        </w:rPr>
        <w:t>3</w:t>
      </w:r>
      <w:r w:rsidRPr="006940A7">
        <w:rPr>
          <w:sz w:val="18"/>
          <w:szCs w:val="18"/>
        </w:rPr>
        <w:t>): Racionamento e o Comitê de Revitalização do Setor Elétrico</w:t>
      </w:r>
    </w:p>
    <w:p w:rsidR="00A72759" w:rsidRPr="00336BFC" w:rsidRDefault="00A72759" w:rsidP="00336BFC">
      <w:pPr>
        <w:autoSpaceDE w:val="0"/>
        <w:autoSpaceDN w:val="0"/>
        <w:adjustRightInd w:val="0"/>
        <w:jc w:val="both"/>
        <w:rPr>
          <w:rFonts w:ascii="Arial" w:hAnsi="Arial" w:cs="Arial"/>
          <w:sz w:val="18"/>
          <w:szCs w:val="18"/>
        </w:rPr>
      </w:pPr>
    </w:p>
    <w:p w:rsidR="00A72759" w:rsidRDefault="00A72759" w:rsidP="00340F26">
      <w:pPr>
        <w:autoSpaceDE w:val="0"/>
        <w:autoSpaceDN w:val="0"/>
        <w:adjustRightInd w:val="0"/>
        <w:spacing w:line="360" w:lineRule="auto"/>
        <w:jc w:val="both"/>
        <w:rPr>
          <w:rFonts w:ascii="Arial" w:hAnsi="Arial" w:cs="Arial"/>
          <w:sz w:val="18"/>
          <w:szCs w:val="18"/>
        </w:rPr>
      </w:pPr>
      <w:r w:rsidRPr="00336BFC">
        <w:rPr>
          <w:rFonts w:ascii="Arial" w:hAnsi="Arial" w:cs="Arial"/>
          <w:sz w:val="18"/>
          <w:szCs w:val="18"/>
        </w:rPr>
        <w:t>A prioridade dada ao processo de privatização de empresas distribuidoras federais e estaduais de energia elétrica,</w:t>
      </w:r>
      <w:r w:rsidR="006027B1">
        <w:rPr>
          <w:rFonts w:ascii="Arial" w:hAnsi="Arial" w:cs="Arial"/>
          <w:sz w:val="18"/>
          <w:szCs w:val="18"/>
        </w:rPr>
        <w:t xml:space="preserve"> </w:t>
      </w:r>
      <w:r w:rsidRPr="006027B1">
        <w:rPr>
          <w:rFonts w:ascii="Arial" w:hAnsi="Arial" w:cs="Arial"/>
          <w:sz w:val="18"/>
          <w:szCs w:val="18"/>
        </w:rPr>
        <w:t>em detrimento da consolidação de um marco regulatório de energia elétrica, implicou em problemas na IEEB. A falta de regras claras afugentou o investidor interessado em aplicar seus recursos em projetos com grande prazo de maturação. Os problemas do setor culminaram com o racionamento de energia elétrica no ano de 2001, nas regiões Sudeste e Nordeste, o que impactou de forma negativa as variáveis macroeconômicas. Diante disso, foi criada a Câmara de Gestão da Crise de Energia Elétrica (CGE), presidido pelo Ministro do Gabinete Civil, o qual constituiu o Comitê de Revitalização do Setor Elétrico com a missão de corrigir as barreiras à entrada do capital privado e desenvolver formas para o aperfeiçoamento do modelo. No toc</w:t>
      </w:r>
      <w:r w:rsidR="00340F26">
        <w:rPr>
          <w:rFonts w:ascii="Arial" w:hAnsi="Arial" w:cs="Arial"/>
          <w:sz w:val="18"/>
          <w:szCs w:val="18"/>
        </w:rPr>
        <w:t>ante ao PEGEE</w:t>
      </w:r>
      <w:r w:rsidRPr="006027B1">
        <w:rPr>
          <w:rFonts w:ascii="Arial" w:hAnsi="Arial" w:cs="Arial"/>
          <w:sz w:val="18"/>
          <w:szCs w:val="18"/>
        </w:rPr>
        <w:t>, continuaram a ser utilizados os mesmos parâmet</w:t>
      </w:r>
      <w:r w:rsidR="00340F26">
        <w:rPr>
          <w:rFonts w:ascii="Arial" w:hAnsi="Arial" w:cs="Arial"/>
          <w:sz w:val="18"/>
          <w:szCs w:val="18"/>
        </w:rPr>
        <w:t xml:space="preserve">ros. Entretanto, o CMO </w:t>
      </w:r>
      <w:r w:rsidRPr="006027B1">
        <w:rPr>
          <w:rFonts w:ascii="Arial" w:hAnsi="Arial" w:cs="Arial"/>
          <w:sz w:val="18"/>
          <w:szCs w:val="18"/>
        </w:rPr>
        <w:t xml:space="preserve"> ficou sendo uma “proxy” do pr</w:t>
      </w:r>
      <w:r w:rsidR="00340F26">
        <w:rPr>
          <w:rFonts w:ascii="Arial" w:hAnsi="Arial" w:cs="Arial"/>
          <w:sz w:val="18"/>
          <w:szCs w:val="18"/>
        </w:rPr>
        <w:t xml:space="preserve">eço de energia e o CME </w:t>
      </w:r>
      <w:r w:rsidRPr="006027B1">
        <w:rPr>
          <w:rFonts w:ascii="Arial" w:hAnsi="Arial" w:cs="Arial"/>
          <w:sz w:val="18"/>
          <w:szCs w:val="18"/>
        </w:rPr>
        <w:t xml:space="preserve"> ficou relacionado ao Valor Normativo (VN), dado pela ANEEL. O VN era uma forma do agente regulador assegurar que a energia seja comprada da forma mais barata possível a partir de um limite superior para o repasse da energia para os consumidores finais.</w:t>
      </w:r>
      <w:bookmarkStart w:id="6" w:name="_Toc192868788"/>
      <w:bookmarkStart w:id="7" w:name="_Toc192868848"/>
      <w:bookmarkStart w:id="8" w:name="_Toc192937635"/>
    </w:p>
    <w:p w:rsidR="006027B1" w:rsidRPr="006027B1" w:rsidRDefault="006027B1" w:rsidP="006027B1">
      <w:pPr>
        <w:pStyle w:val="Ttulo2"/>
        <w:rPr>
          <w:sz w:val="18"/>
          <w:szCs w:val="18"/>
        </w:rPr>
      </w:pPr>
      <w:r>
        <w:rPr>
          <w:sz w:val="18"/>
          <w:szCs w:val="18"/>
        </w:rPr>
        <w:t>2.7</w:t>
      </w:r>
      <w:r w:rsidRPr="006027B1">
        <w:rPr>
          <w:sz w:val="18"/>
          <w:szCs w:val="18"/>
        </w:rPr>
        <w:t xml:space="preserve"> Fase da Pretensão e Crise (2004 a 2016) -  Revigoramento do Planejamento e Medidas Populistas.</w:t>
      </w:r>
    </w:p>
    <w:p w:rsidR="006027B1" w:rsidRDefault="006027B1" w:rsidP="006027B1">
      <w:pPr>
        <w:widowControl w:val="0"/>
        <w:ind w:right="74"/>
        <w:jc w:val="both"/>
        <w:rPr>
          <w:rFonts w:ascii="Arial" w:hAnsi="Arial" w:cs="Arial"/>
          <w:bCs/>
          <w:sz w:val="18"/>
          <w:szCs w:val="18"/>
        </w:rPr>
      </w:pPr>
    </w:p>
    <w:p w:rsidR="006027B1" w:rsidRDefault="006027B1" w:rsidP="00340F26">
      <w:pPr>
        <w:widowControl w:val="0"/>
        <w:spacing w:line="360" w:lineRule="auto"/>
        <w:ind w:right="74"/>
        <w:jc w:val="both"/>
        <w:rPr>
          <w:rFonts w:ascii="Arial" w:hAnsi="Arial" w:cs="Arial"/>
          <w:sz w:val="18"/>
          <w:szCs w:val="18"/>
        </w:rPr>
      </w:pPr>
      <w:r w:rsidRPr="006027B1">
        <w:rPr>
          <w:rFonts w:ascii="Arial" w:hAnsi="Arial" w:cs="Arial"/>
          <w:bCs/>
          <w:sz w:val="18"/>
          <w:szCs w:val="18"/>
        </w:rPr>
        <w:t xml:space="preserve">O novo desenho da IEEB, a partir de </w:t>
      </w:r>
      <w:r w:rsidRPr="006027B1">
        <w:rPr>
          <w:rFonts w:ascii="Arial" w:hAnsi="Arial" w:cs="Arial"/>
          <w:sz w:val="18"/>
          <w:szCs w:val="18"/>
        </w:rPr>
        <w:t>novos diplomas legais (Leis 10.847 e 10.848 de 15/03/2004 e 5.163 de 30/07/2007),</w:t>
      </w:r>
      <w:r w:rsidRPr="006027B1">
        <w:rPr>
          <w:rFonts w:ascii="Arial" w:hAnsi="Arial" w:cs="Arial"/>
          <w:bCs/>
          <w:sz w:val="18"/>
          <w:szCs w:val="18"/>
        </w:rPr>
        <w:t xml:space="preserve"> colocou duas premissas para a garantia da expansão da geração, quais sejam (3): todos os consumidores (cativos ou não) devem ter 100% de suas demandas cobertas por contratos e as distribuidoras somente podem comprar energia por meio leilões de contratos. Tais regras fizeram com que a competição no segmento de geração não esteja no mercado spot (</w:t>
      </w:r>
      <w:r w:rsidRPr="006027B1">
        <w:rPr>
          <w:rFonts w:ascii="Arial" w:hAnsi="Arial" w:cs="Arial"/>
          <w:b/>
          <w:bCs/>
          <w:sz w:val="18"/>
          <w:szCs w:val="18"/>
        </w:rPr>
        <w:t>Competição no Mercado</w:t>
      </w:r>
      <w:r w:rsidRPr="006027B1">
        <w:rPr>
          <w:rFonts w:ascii="Arial" w:hAnsi="Arial" w:cs="Arial"/>
          <w:bCs/>
          <w:sz w:val="18"/>
          <w:szCs w:val="18"/>
        </w:rPr>
        <w:t>) e sim nos contratos estabelecidos pelos agentes vencedores antes do projeto de geração ser construído (</w:t>
      </w:r>
      <w:r w:rsidRPr="006027B1">
        <w:rPr>
          <w:rFonts w:ascii="Arial" w:hAnsi="Arial" w:cs="Arial"/>
          <w:b/>
          <w:bCs/>
          <w:sz w:val="18"/>
          <w:szCs w:val="18"/>
        </w:rPr>
        <w:t>Competição pelo Mercado</w:t>
      </w:r>
      <w:r w:rsidRPr="006027B1">
        <w:rPr>
          <w:rFonts w:ascii="Arial" w:hAnsi="Arial" w:cs="Arial"/>
          <w:bCs/>
          <w:sz w:val="18"/>
          <w:szCs w:val="18"/>
        </w:rPr>
        <w:t>)</w:t>
      </w:r>
      <w:r w:rsidRPr="006027B1">
        <w:rPr>
          <w:rStyle w:val="Refdenotaderodap"/>
          <w:rFonts w:ascii="Arial" w:eastAsiaTheme="minorEastAsia" w:hAnsi="Arial" w:cs="Arial"/>
          <w:sz w:val="18"/>
          <w:szCs w:val="18"/>
        </w:rPr>
        <w:footnoteReference w:id="1"/>
      </w:r>
      <w:r w:rsidRPr="006027B1">
        <w:rPr>
          <w:rFonts w:ascii="Arial" w:hAnsi="Arial" w:cs="Arial"/>
          <w:bCs/>
          <w:sz w:val="18"/>
          <w:szCs w:val="18"/>
        </w:rPr>
        <w:t xml:space="preserve">. Nesta fase, foram criados os seguintes órgãos:  </w:t>
      </w:r>
      <w:r w:rsidRPr="006027B1">
        <w:rPr>
          <w:rFonts w:ascii="Arial" w:hAnsi="Arial" w:cs="Arial"/>
          <w:sz w:val="18"/>
          <w:szCs w:val="18"/>
        </w:rPr>
        <w:t xml:space="preserve">Câmara de Comercialização de Energia Elétrica (CCEE), Comitê de Monitoramento do Setor Elétrica (CMSE) e Empresa de Pesquisa Energética (EPE). A </w:t>
      </w:r>
      <w:r w:rsidRPr="006027B1">
        <w:rPr>
          <w:rFonts w:ascii="Arial" w:hAnsi="Arial" w:cs="Arial"/>
          <w:sz w:val="18"/>
          <w:szCs w:val="18"/>
        </w:rPr>
        <w:lastRenderedPageBreak/>
        <w:t>CCEE é um organismo responsável pela comercialização de energia elétrica realizada nos ambientes de contratação livre (ACL) e regulado (ACR). O CMSE é uma entidade responsável em avaliar a segurança da energia elétrica. A EPE substituiu o Comitê Coordenador de Planejamento da Expansão (CCPE), mas com uma atribuição que envolve todo o sistema energético, ao contrário do passado que concentrava única e exclusivamente no setor elétrico. Apesar do carácter positivo, tanto em termo de estrutura quanto de integração energética, o período em tela proporcionou uma grave crise. O fato gerador foi a posição dos governos da época em privilegiar a modicidade tarifária em detrimento da segurança energética. Esta escolha ficou nítida a partir da Lei 12.783/2013.Tal procedimento, num momento de custo crescente associado ao atraso em obras de geração e transmissão, bem como condições climáticas desfavoráveis associada a má gestão de operação dos reservatórios, em razão de atraso no despacho de termoelétricas, trouxeram consequências bastante negativas para a IEEB</w:t>
      </w:r>
      <w:r w:rsidRPr="006027B1">
        <w:rPr>
          <w:rStyle w:val="Refdenotaderodap"/>
          <w:rFonts w:ascii="Arial" w:eastAsiaTheme="minorEastAsia" w:hAnsi="Arial" w:cs="Arial"/>
          <w:sz w:val="18"/>
          <w:szCs w:val="18"/>
        </w:rPr>
        <w:footnoteReference w:id="2"/>
      </w:r>
      <w:r w:rsidRPr="006027B1">
        <w:rPr>
          <w:rFonts w:ascii="Arial" w:hAnsi="Arial" w:cs="Arial"/>
          <w:sz w:val="18"/>
          <w:szCs w:val="18"/>
        </w:rPr>
        <w:t>. Chega-se em 2015 a uma inadimplência no mercado de energia elétrica da ordem de R$3,00 bilhões no mercado de curto prazo e gerou paralisação das liquidações na CCEE.</w:t>
      </w:r>
    </w:p>
    <w:p w:rsidR="006027B1" w:rsidRPr="006027B1" w:rsidRDefault="006027B1" w:rsidP="006027B1">
      <w:pPr>
        <w:widowControl w:val="0"/>
        <w:ind w:right="74"/>
        <w:jc w:val="both"/>
        <w:rPr>
          <w:rFonts w:ascii="Arial" w:hAnsi="Arial" w:cs="Arial"/>
          <w:sz w:val="18"/>
          <w:szCs w:val="18"/>
        </w:rPr>
      </w:pPr>
    </w:p>
    <w:p w:rsidR="006027B1" w:rsidRPr="006027B1" w:rsidRDefault="006027B1" w:rsidP="006027B1">
      <w:pPr>
        <w:pStyle w:val="Ttulo2"/>
        <w:rPr>
          <w:sz w:val="18"/>
          <w:szCs w:val="18"/>
        </w:rPr>
      </w:pPr>
      <w:r w:rsidRPr="006027B1">
        <w:rPr>
          <w:sz w:val="18"/>
          <w:szCs w:val="18"/>
        </w:rPr>
        <w:t xml:space="preserve">2.8 Fase de Impulso de Atividades Competitivas na IEEB (a partir de 2017): CP 33 e Modernização do Setor Elétrico </w:t>
      </w:r>
    </w:p>
    <w:p w:rsidR="006027B1" w:rsidRDefault="006027B1" w:rsidP="006027B1">
      <w:pPr>
        <w:autoSpaceDE w:val="0"/>
        <w:autoSpaceDN w:val="0"/>
        <w:adjustRightInd w:val="0"/>
        <w:jc w:val="both"/>
        <w:rPr>
          <w:rFonts w:ascii="Arial" w:hAnsi="Arial" w:cs="Arial"/>
          <w:sz w:val="18"/>
          <w:szCs w:val="18"/>
        </w:rPr>
      </w:pPr>
    </w:p>
    <w:p w:rsidR="006027B1" w:rsidRDefault="006027B1" w:rsidP="00DB3D7E">
      <w:pPr>
        <w:autoSpaceDE w:val="0"/>
        <w:autoSpaceDN w:val="0"/>
        <w:adjustRightInd w:val="0"/>
        <w:spacing w:line="360" w:lineRule="auto"/>
        <w:jc w:val="both"/>
        <w:rPr>
          <w:rFonts w:ascii="Arial" w:hAnsi="Arial" w:cs="Arial"/>
          <w:sz w:val="18"/>
          <w:szCs w:val="18"/>
        </w:rPr>
      </w:pPr>
      <w:r w:rsidRPr="006027B1">
        <w:rPr>
          <w:rFonts w:ascii="Arial" w:hAnsi="Arial" w:cs="Arial"/>
          <w:sz w:val="18"/>
          <w:szCs w:val="18"/>
        </w:rPr>
        <w:t>Apesar da grave crise econômica que o Brasil atravessa observa-se uma certa resiliência da IEEB. Isto pode ser representado pelos Leilões de Transmissão n</w:t>
      </w:r>
      <w:r w:rsidRPr="006027B1">
        <w:rPr>
          <w:rFonts w:ascii="Arial" w:hAnsi="Arial" w:cs="Arial"/>
          <w:sz w:val="18"/>
          <w:szCs w:val="18"/>
          <w:u w:val="single"/>
          <w:vertAlign w:val="superscript"/>
        </w:rPr>
        <w:t>o</w:t>
      </w:r>
      <w:r w:rsidRPr="006027B1">
        <w:rPr>
          <w:rFonts w:ascii="Arial" w:hAnsi="Arial" w:cs="Arial"/>
          <w:sz w:val="18"/>
          <w:szCs w:val="18"/>
        </w:rPr>
        <w:t xml:space="preserve"> 4/2018 e Leilão de Energia Nova A4/ 2019 os quais alcançaram deságios de 46% e 45%, respectivamente. Isto trará bons efeitos com relação a modicidade tarifária. Além disso, os sinais dados primeiramente pela Consulta Pública n</w:t>
      </w:r>
      <w:r w:rsidRPr="006027B1">
        <w:rPr>
          <w:rFonts w:ascii="Arial" w:hAnsi="Arial" w:cs="Arial"/>
          <w:sz w:val="18"/>
          <w:szCs w:val="18"/>
          <w:u w:val="single"/>
          <w:vertAlign w:val="superscript"/>
        </w:rPr>
        <w:t>o</w:t>
      </w:r>
      <w:r w:rsidRPr="006027B1">
        <w:rPr>
          <w:rFonts w:ascii="Arial" w:hAnsi="Arial" w:cs="Arial"/>
          <w:sz w:val="18"/>
          <w:szCs w:val="18"/>
        </w:rPr>
        <w:t xml:space="preserve"> 33, bem como o compromisso do governo atual com a redução do Estado nas atividades competitivas do setor elétrico, podem ser vistas a partir da criação, pelo Ministério de Minas e Energia, do Grupo de Trabalho de Modernização do Setor Elétrico (Portaria n</w:t>
      </w:r>
      <w:r w:rsidRPr="006027B1">
        <w:rPr>
          <w:rFonts w:ascii="Arial" w:hAnsi="Arial" w:cs="Arial"/>
          <w:sz w:val="18"/>
          <w:szCs w:val="18"/>
          <w:u w:val="single"/>
          <w:vertAlign w:val="superscript"/>
        </w:rPr>
        <w:t>o</w:t>
      </w:r>
      <w:r w:rsidRPr="006027B1">
        <w:rPr>
          <w:rFonts w:ascii="Arial" w:hAnsi="Arial" w:cs="Arial"/>
          <w:sz w:val="18"/>
          <w:szCs w:val="18"/>
        </w:rPr>
        <w:t xml:space="preserve"> 187 de 4/04/2019). Tal ação está sendo percebida pela IEEB de modo positivo.  </w:t>
      </w:r>
      <w:r>
        <w:rPr>
          <w:rFonts w:ascii="Arial" w:hAnsi="Arial" w:cs="Arial"/>
          <w:sz w:val="18"/>
          <w:szCs w:val="18"/>
        </w:rPr>
        <w:t>Porém</w:t>
      </w:r>
      <w:r w:rsidRPr="006027B1">
        <w:rPr>
          <w:rFonts w:ascii="Arial" w:hAnsi="Arial" w:cs="Arial"/>
          <w:sz w:val="18"/>
          <w:szCs w:val="18"/>
        </w:rPr>
        <w:t xml:space="preserve">, a confiança dos agentes poderá ser contida caso as propostas de uma agenda liberal para o setor elétrico não sejam </w:t>
      </w:r>
      <w:r>
        <w:rPr>
          <w:rFonts w:ascii="Arial" w:hAnsi="Arial" w:cs="Arial"/>
          <w:sz w:val="18"/>
          <w:szCs w:val="18"/>
        </w:rPr>
        <w:t>referenda</w:t>
      </w:r>
      <w:r w:rsidR="00CF440C">
        <w:rPr>
          <w:rFonts w:ascii="Arial" w:hAnsi="Arial" w:cs="Arial"/>
          <w:sz w:val="18"/>
          <w:szCs w:val="18"/>
        </w:rPr>
        <w:t>d</w:t>
      </w:r>
      <w:r w:rsidRPr="006027B1">
        <w:rPr>
          <w:rFonts w:ascii="Arial" w:hAnsi="Arial" w:cs="Arial"/>
          <w:sz w:val="18"/>
          <w:szCs w:val="18"/>
        </w:rPr>
        <w:t xml:space="preserve">as pelo </w:t>
      </w:r>
      <w:r w:rsidR="00CF440C">
        <w:rPr>
          <w:rFonts w:ascii="Arial" w:hAnsi="Arial" w:cs="Arial"/>
          <w:sz w:val="18"/>
          <w:szCs w:val="18"/>
        </w:rPr>
        <w:t>Legislativo</w:t>
      </w:r>
      <w:r w:rsidRPr="006027B1">
        <w:rPr>
          <w:rFonts w:ascii="Arial" w:hAnsi="Arial" w:cs="Arial"/>
          <w:sz w:val="18"/>
          <w:szCs w:val="18"/>
        </w:rPr>
        <w:t>.</w:t>
      </w:r>
    </w:p>
    <w:p w:rsidR="00DB3D7E" w:rsidRDefault="00DB3D7E" w:rsidP="00DB3D7E">
      <w:pPr>
        <w:autoSpaceDE w:val="0"/>
        <w:autoSpaceDN w:val="0"/>
        <w:adjustRightInd w:val="0"/>
        <w:spacing w:line="360" w:lineRule="auto"/>
        <w:jc w:val="both"/>
        <w:rPr>
          <w:rFonts w:ascii="Arial" w:hAnsi="Arial" w:cs="Arial"/>
          <w:color w:val="000000"/>
          <w:sz w:val="18"/>
          <w:szCs w:val="18"/>
        </w:rPr>
      </w:pPr>
    </w:p>
    <w:p w:rsidR="00CF440C" w:rsidRDefault="00CF440C" w:rsidP="00DB3D7E">
      <w:pPr>
        <w:autoSpaceDE w:val="0"/>
        <w:autoSpaceDN w:val="0"/>
        <w:adjustRightInd w:val="0"/>
        <w:spacing w:line="360" w:lineRule="auto"/>
        <w:jc w:val="both"/>
        <w:rPr>
          <w:rFonts w:ascii="Arial" w:hAnsi="Arial" w:cs="Arial"/>
          <w:color w:val="000000"/>
          <w:sz w:val="18"/>
          <w:szCs w:val="18"/>
        </w:rPr>
      </w:pPr>
      <w:r w:rsidRPr="00CF440C">
        <w:rPr>
          <w:rFonts w:ascii="Arial" w:hAnsi="Arial" w:cs="Arial"/>
          <w:color w:val="000000"/>
          <w:sz w:val="18"/>
          <w:szCs w:val="18"/>
        </w:rPr>
        <w:t>Desde 2017 percebe-se que a EPE tem tido progressivamente uma atuação próxima a, segundo abordagem de (</w:t>
      </w:r>
      <w:r>
        <w:rPr>
          <w:rFonts w:ascii="Arial" w:hAnsi="Arial" w:cs="Arial"/>
          <w:color w:val="000000"/>
          <w:sz w:val="18"/>
          <w:szCs w:val="18"/>
        </w:rPr>
        <w:t>4</w:t>
      </w:r>
      <w:r w:rsidRPr="00CF440C">
        <w:rPr>
          <w:rFonts w:ascii="Arial" w:hAnsi="Arial" w:cs="Arial"/>
          <w:color w:val="000000"/>
          <w:sz w:val="18"/>
          <w:szCs w:val="18"/>
        </w:rPr>
        <w:t>), de um Arquiteto de Escolhas. Este pode ser definido como o responsável em organizar o contexto no qual os agentes irão tomar decisões sem tentar bloquear ou obstruir a livre escolha dos mesmos.</w:t>
      </w:r>
    </w:p>
    <w:p w:rsidR="00CF440C" w:rsidRDefault="00CF440C" w:rsidP="006027B1">
      <w:pPr>
        <w:autoSpaceDE w:val="0"/>
        <w:autoSpaceDN w:val="0"/>
        <w:adjustRightInd w:val="0"/>
        <w:jc w:val="both"/>
        <w:rPr>
          <w:rFonts w:ascii="Arial" w:hAnsi="Arial" w:cs="Arial"/>
          <w:color w:val="000000"/>
          <w:sz w:val="18"/>
          <w:szCs w:val="18"/>
        </w:rPr>
      </w:pPr>
    </w:p>
    <w:p w:rsidR="00CF440C" w:rsidRPr="00CF440C" w:rsidRDefault="00CF440C" w:rsidP="00CF440C">
      <w:pPr>
        <w:pStyle w:val="Ttulo1"/>
        <w:rPr>
          <w:sz w:val="18"/>
          <w:szCs w:val="18"/>
        </w:rPr>
      </w:pPr>
      <w:r w:rsidRPr="00CF440C">
        <w:rPr>
          <w:sz w:val="18"/>
          <w:szCs w:val="18"/>
        </w:rPr>
        <w:t>3. CRITÉRIOS DE GARANTIA DE SUPRIMENTO</w:t>
      </w:r>
    </w:p>
    <w:p w:rsidR="006027B1" w:rsidRDefault="006027B1" w:rsidP="006027B1">
      <w:pPr>
        <w:autoSpaceDE w:val="0"/>
        <w:autoSpaceDN w:val="0"/>
        <w:adjustRightInd w:val="0"/>
        <w:jc w:val="both"/>
        <w:rPr>
          <w:rFonts w:ascii="Arial" w:hAnsi="Arial" w:cs="Arial"/>
          <w:sz w:val="18"/>
          <w:szCs w:val="18"/>
        </w:rPr>
      </w:pPr>
    </w:p>
    <w:p w:rsidR="001A5FFB" w:rsidRDefault="001A5FFB" w:rsidP="00DB3D7E">
      <w:pPr>
        <w:autoSpaceDE w:val="0"/>
        <w:autoSpaceDN w:val="0"/>
        <w:adjustRightInd w:val="0"/>
        <w:spacing w:line="360" w:lineRule="auto"/>
        <w:jc w:val="both"/>
        <w:rPr>
          <w:rFonts w:ascii="Arial" w:hAnsi="Arial" w:cs="Arial"/>
          <w:sz w:val="18"/>
          <w:szCs w:val="18"/>
        </w:rPr>
      </w:pPr>
      <w:r w:rsidRPr="001A5FFB">
        <w:rPr>
          <w:rFonts w:ascii="Arial" w:hAnsi="Arial" w:cs="Arial"/>
          <w:sz w:val="18"/>
          <w:szCs w:val="18"/>
        </w:rPr>
        <w:t xml:space="preserve">Atualmente a IEEB se vê diante de uma transformação do seu sistema de produção de energia elétrica. Isto pode ser visto a partir do portfólio de projetos de geração onde constam a entrada de UHEs que nada contribuem para aumentar a capacidade de regularização plurianual, aumento do bloco térmico e fontes de geração intermitentes que podem provocar instabilidades no sistema. Portanto, será que os conceitos e métricas utilizados no momento respondem aos problemas advindos de um Sistema Hidrotérmico-Eólico? </w:t>
      </w:r>
    </w:p>
    <w:p w:rsidR="006027B1" w:rsidRPr="00467C2E" w:rsidRDefault="001A5FFB" w:rsidP="00DB3D7E">
      <w:pPr>
        <w:autoSpaceDE w:val="0"/>
        <w:autoSpaceDN w:val="0"/>
        <w:adjustRightInd w:val="0"/>
        <w:spacing w:line="360" w:lineRule="auto"/>
        <w:jc w:val="both"/>
        <w:rPr>
          <w:rFonts w:ascii="Arial" w:hAnsi="Arial" w:cs="Arial"/>
          <w:sz w:val="18"/>
          <w:szCs w:val="18"/>
        </w:rPr>
      </w:pPr>
      <w:r>
        <w:rPr>
          <w:rFonts w:ascii="Arial" w:hAnsi="Arial" w:cs="Arial"/>
          <w:sz w:val="18"/>
          <w:szCs w:val="18"/>
        </w:rPr>
        <w:lastRenderedPageBreak/>
        <w:t>O</w:t>
      </w:r>
      <w:r w:rsidRPr="001A5FFB">
        <w:rPr>
          <w:rFonts w:ascii="Arial" w:hAnsi="Arial" w:cs="Arial"/>
          <w:sz w:val="18"/>
          <w:szCs w:val="18"/>
        </w:rPr>
        <w:t xml:space="preserve"> presente</w:t>
      </w:r>
      <w:r>
        <w:rPr>
          <w:rFonts w:ascii="Arial" w:hAnsi="Arial" w:cs="Arial"/>
          <w:sz w:val="18"/>
          <w:szCs w:val="18"/>
        </w:rPr>
        <w:t xml:space="preserve"> informe técnico</w:t>
      </w:r>
      <w:r w:rsidRPr="001A5FFB">
        <w:rPr>
          <w:rFonts w:ascii="Arial" w:hAnsi="Arial" w:cs="Arial"/>
          <w:sz w:val="18"/>
          <w:szCs w:val="18"/>
        </w:rPr>
        <w:t xml:space="preserve"> não tem uma resposta pronta, porém busca contribuir para que seja feita uma reflexão sobre uma metodologia cuja construção teve como base questões econômicas, “ad hoc” e políticas</w:t>
      </w:r>
      <w:r>
        <w:rPr>
          <w:rFonts w:ascii="Arial" w:hAnsi="Arial" w:cs="Arial"/>
          <w:sz w:val="18"/>
          <w:szCs w:val="18"/>
        </w:rPr>
        <w:t xml:space="preserve">. </w:t>
      </w:r>
      <w:r w:rsidR="00B37A62">
        <w:rPr>
          <w:rFonts w:ascii="Arial" w:hAnsi="Arial" w:cs="Arial"/>
          <w:sz w:val="18"/>
          <w:szCs w:val="18"/>
        </w:rPr>
        <w:t>E</w:t>
      </w:r>
      <w:r>
        <w:rPr>
          <w:rFonts w:ascii="Arial" w:hAnsi="Arial" w:cs="Arial"/>
          <w:sz w:val="18"/>
          <w:szCs w:val="18"/>
        </w:rPr>
        <w:t>sta seção</w:t>
      </w:r>
      <w:r w:rsidR="00B37A62">
        <w:rPr>
          <w:rFonts w:ascii="Arial" w:hAnsi="Arial" w:cs="Arial"/>
          <w:sz w:val="18"/>
          <w:szCs w:val="18"/>
        </w:rPr>
        <w:t>, a partir de uma visão técnico-científico, mostra</w:t>
      </w:r>
      <w:r w:rsidR="00DB3D7E">
        <w:rPr>
          <w:rFonts w:ascii="Arial" w:hAnsi="Arial" w:cs="Arial"/>
          <w:sz w:val="18"/>
          <w:szCs w:val="18"/>
        </w:rPr>
        <w:t>r</w:t>
      </w:r>
      <w:r w:rsidR="00B37A62">
        <w:rPr>
          <w:rFonts w:ascii="Arial" w:hAnsi="Arial" w:cs="Arial"/>
          <w:sz w:val="18"/>
          <w:szCs w:val="18"/>
        </w:rPr>
        <w:t xml:space="preserve"> como foi o desenvolvimento dos critérios de suprimentos, complementando assim</w:t>
      </w:r>
      <w:r>
        <w:rPr>
          <w:rFonts w:ascii="Arial" w:hAnsi="Arial" w:cs="Arial"/>
          <w:sz w:val="18"/>
          <w:szCs w:val="18"/>
        </w:rPr>
        <w:t xml:space="preserve"> a descrição histórica apresentada anteriormente</w:t>
      </w:r>
      <w:r w:rsidR="00E37FA7">
        <w:rPr>
          <w:rFonts w:ascii="Arial" w:hAnsi="Arial" w:cs="Arial"/>
          <w:sz w:val="18"/>
          <w:szCs w:val="18"/>
        </w:rPr>
        <w:t>.</w:t>
      </w:r>
      <w:r w:rsidR="00467C2E">
        <w:rPr>
          <w:rFonts w:ascii="Arial" w:hAnsi="Arial" w:cs="Arial"/>
          <w:sz w:val="18"/>
          <w:szCs w:val="18"/>
        </w:rPr>
        <w:t xml:space="preserve"> A descrição a seguir tem como base diversos textos (artigos, notas técnicas, manuais</w:t>
      </w:r>
      <w:r w:rsidR="00054145">
        <w:rPr>
          <w:rFonts w:ascii="Arial" w:hAnsi="Arial" w:cs="Arial"/>
          <w:sz w:val="18"/>
          <w:szCs w:val="18"/>
        </w:rPr>
        <w:t xml:space="preserve"> e livros</w:t>
      </w:r>
      <w:r w:rsidR="00467C2E">
        <w:rPr>
          <w:rFonts w:ascii="Arial" w:hAnsi="Arial" w:cs="Arial"/>
          <w:sz w:val="18"/>
          <w:szCs w:val="18"/>
        </w:rPr>
        <w:t xml:space="preserve">) desenvolvidos principalmente nas fases apresentadas nas subseções 2.3, 2.4 </w:t>
      </w:r>
      <w:r w:rsidR="00B37A62">
        <w:rPr>
          <w:rFonts w:ascii="Arial" w:hAnsi="Arial" w:cs="Arial"/>
          <w:sz w:val="18"/>
          <w:szCs w:val="18"/>
        </w:rPr>
        <w:t>e 2.5</w:t>
      </w:r>
      <w:r w:rsidR="00001A24">
        <w:rPr>
          <w:rFonts w:ascii="Arial" w:hAnsi="Arial" w:cs="Arial"/>
          <w:sz w:val="18"/>
          <w:szCs w:val="18"/>
        </w:rPr>
        <w:t xml:space="preserve">. </w:t>
      </w:r>
      <w:r w:rsidR="00DB3D7E">
        <w:rPr>
          <w:rFonts w:ascii="Arial" w:hAnsi="Arial" w:cs="Arial"/>
          <w:sz w:val="18"/>
          <w:szCs w:val="18"/>
        </w:rPr>
        <w:t>Esta volta ao passado se justifica</w:t>
      </w:r>
      <w:r w:rsidR="00B37A62">
        <w:rPr>
          <w:rFonts w:ascii="Arial" w:hAnsi="Arial" w:cs="Arial"/>
          <w:sz w:val="18"/>
          <w:szCs w:val="18"/>
        </w:rPr>
        <w:t>, primeiramente, em virtude</w:t>
      </w:r>
      <w:r w:rsidR="00467C2E">
        <w:rPr>
          <w:rFonts w:ascii="Arial" w:hAnsi="Arial" w:cs="Arial"/>
          <w:sz w:val="18"/>
          <w:szCs w:val="18"/>
        </w:rPr>
        <w:t xml:space="preserve"> </w:t>
      </w:r>
      <w:r w:rsidR="00B37A62">
        <w:rPr>
          <w:rFonts w:ascii="Arial" w:hAnsi="Arial" w:cs="Arial"/>
          <w:sz w:val="18"/>
          <w:szCs w:val="18"/>
        </w:rPr>
        <w:t>d</w:t>
      </w:r>
      <w:r w:rsidR="00467C2E">
        <w:rPr>
          <w:rFonts w:ascii="Arial" w:hAnsi="Arial" w:cs="Arial"/>
          <w:sz w:val="18"/>
          <w:szCs w:val="18"/>
        </w:rPr>
        <w:t xml:space="preserve">as incongruências das </w:t>
      </w:r>
      <w:r w:rsidR="00467C2E" w:rsidRPr="00467C2E">
        <w:rPr>
          <w:rFonts w:ascii="Arial" w:hAnsi="Arial" w:cs="Arial"/>
          <w:sz w:val="18"/>
          <w:szCs w:val="18"/>
        </w:rPr>
        <w:t>Resoluções n</w:t>
      </w:r>
      <w:r w:rsidR="00467C2E" w:rsidRPr="00467C2E">
        <w:rPr>
          <w:rFonts w:ascii="Arial" w:hAnsi="Arial" w:cs="Arial"/>
          <w:sz w:val="18"/>
          <w:szCs w:val="18"/>
          <w:u w:val="single"/>
          <w:vertAlign w:val="superscript"/>
        </w:rPr>
        <w:t>o</w:t>
      </w:r>
      <w:r w:rsidR="00467C2E">
        <w:rPr>
          <w:rFonts w:ascii="Arial" w:hAnsi="Arial" w:cs="Arial"/>
          <w:sz w:val="18"/>
          <w:szCs w:val="18"/>
          <w:u w:val="single"/>
          <w:vertAlign w:val="superscript"/>
        </w:rPr>
        <w:t>s</w:t>
      </w:r>
      <w:r w:rsidR="00467C2E">
        <w:rPr>
          <w:rFonts w:ascii="Arial" w:hAnsi="Arial" w:cs="Arial"/>
          <w:sz w:val="18"/>
          <w:szCs w:val="18"/>
        </w:rPr>
        <w:t xml:space="preserve"> 1 (</w:t>
      </w:r>
      <w:r w:rsidR="00467C2E" w:rsidRPr="00467C2E">
        <w:rPr>
          <w:rFonts w:ascii="Arial" w:hAnsi="Arial" w:cs="Arial"/>
          <w:sz w:val="18"/>
          <w:szCs w:val="18"/>
        </w:rPr>
        <w:t>17/11/2004</w:t>
      </w:r>
      <w:r w:rsidR="00467C2E">
        <w:rPr>
          <w:rFonts w:ascii="Arial" w:hAnsi="Arial" w:cs="Arial"/>
          <w:sz w:val="18"/>
          <w:szCs w:val="18"/>
        </w:rPr>
        <w:t xml:space="preserve">) e </w:t>
      </w:r>
      <w:r w:rsidR="00467C2E" w:rsidRPr="00467C2E">
        <w:rPr>
          <w:rFonts w:ascii="Arial" w:hAnsi="Arial" w:cs="Arial"/>
          <w:sz w:val="18"/>
          <w:szCs w:val="18"/>
        </w:rPr>
        <w:t xml:space="preserve"> </w:t>
      </w:r>
      <w:r w:rsidR="00467C2E">
        <w:rPr>
          <w:rFonts w:ascii="Arial" w:hAnsi="Arial" w:cs="Arial"/>
          <w:sz w:val="18"/>
          <w:szCs w:val="18"/>
        </w:rPr>
        <w:t>9 (</w:t>
      </w:r>
      <w:r w:rsidR="00467C2E" w:rsidRPr="00467C2E">
        <w:rPr>
          <w:rFonts w:ascii="Arial" w:hAnsi="Arial" w:cs="Arial"/>
          <w:sz w:val="18"/>
          <w:szCs w:val="18"/>
        </w:rPr>
        <w:t>28/07/2008</w:t>
      </w:r>
      <w:r w:rsidR="00467C2E">
        <w:rPr>
          <w:rFonts w:ascii="Arial" w:hAnsi="Arial" w:cs="Arial"/>
          <w:sz w:val="18"/>
          <w:szCs w:val="18"/>
        </w:rPr>
        <w:t xml:space="preserve">) </w:t>
      </w:r>
      <w:r w:rsidR="00467C2E" w:rsidRPr="00467C2E">
        <w:rPr>
          <w:rFonts w:ascii="Arial" w:hAnsi="Arial" w:cs="Arial"/>
          <w:sz w:val="18"/>
          <w:szCs w:val="18"/>
        </w:rPr>
        <w:t>do Conselho Nacional de Política Energética (CNPE)</w:t>
      </w:r>
      <w:r w:rsidR="00096750">
        <w:rPr>
          <w:rFonts w:ascii="Arial" w:hAnsi="Arial" w:cs="Arial"/>
          <w:sz w:val="18"/>
          <w:szCs w:val="18"/>
        </w:rPr>
        <w:t>. Por mais boa intenção que os membros no CNPE tenham tido o fato tem sua origem</w:t>
      </w:r>
      <w:r w:rsidR="006940A7">
        <w:rPr>
          <w:rFonts w:ascii="Arial" w:hAnsi="Arial" w:cs="Arial"/>
          <w:sz w:val="18"/>
          <w:szCs w:val="18"/>
        </w:rPr>
        <w:t>, conforme já comentado,</w:t>
      </w:r>
      <w:r w:rsidR="00096750">
        <w:rPr>
          <w:rFonts w:ascii="Arial" w:hAnsi="Arial" w:cs="Arial"/>
          <w:sz w:val="18"/>
          <w:szCs w:val="18"/>
        </w:rPr>
        <w:t xml:space="preserve"> no desmantelamento que a área de planejamento</w:t>
      </w:r>
      <w:r w:rsidR="00B37A62">
        <w:rPr>
          <w:rFonts w:ascii="Arial" w:hAnsi="Arial" w:cs="Arial"/>
          <w:sz w:val="18"/>
          <w:szCs w:val="18"/>
        </w:rPr>
        <w:t xml:space="preserve"> teve no final da década de 1990</w:t>
      </w:r>
      <w:r w:rsidR="006940A7">
        <w:rPr>
          <w:rFonts w:ascii="Arial" w:hAnsi="Arial" w:cs="Arial"/>
          <w:sz w:val="18"/>
          <w:szCs w:val="18"/>
        </w:rPr>
        <w:t xml:space="preserve">. </w:t>
      </w:r>
      <w:r w:rsidR="00B37A62">
        <w:rPr>
          <w:rFonts w:ascii="Arial" w:hAnsi="Arial" w:cs="Arial"/>
          <w:sz w:val="18"/>
          <w:szCs w:val="18"/>
        </w:rPr>
        <w:t xml:space="preserve">As informações obtidas nas subseções </w:t>
      </w:r>
      <w:r w:rsidR="00DB3D7E">
        <w:rPr>
          <w:rFonts w:ascii="Arial" w:hAnsi="Arial" w:cs="Arial"/>
          <w:sz w:val="18"/>
          <w:szCs w:val="18"/>
        </w:rPr>
        <w:t>posteriores poderão auxiliar nos debates</w:t>
      </w:r>
      <w:r w:rsidR="00B37A62">
        <w:rPr>
          <w:rFonts w:ascii="Arial" w:hAnsi="Arial" w:cs="Arial"/>
          <w:sz w:val="18"/>
          <w:szCs w:val="18"/>
        </w:rPr>
        <w:t xml:space="preserve"> </w:t>
      </w:r>
      <w:r w:rsidR="00DB3D7E">
        <w:rPr>
          <w:rFonts w:ascii="Arial" w:hAnsi="Arial" w:cs="Arial"/>
          <w:sz w:val="18"/>
          <w:szCs w:val="18"/>
        </w:rPr>
        <w:t>a respeito de novas métricas de  risco</w:t>
      </w:r>
      <w:r w:rsidR="00D57B5A">
        <w:rPr>
          <w:rFonts w:ascii="Arial" w:hAnsi="Arial" w:cs="Arial"/>
          <w:sz w:val="18"/>
          <w:szCs w:val="18"/>
        </w:rPr>
        <w:t>s,</w:t>
      </w:r>
      <w:r w:rsidR="00DB3D7E">
        <w:rPr>
          <w:rFonts w:ascii="Arial" w:hAnsi="Arial" w:cs="Arial"/>
          <w:sz w:val="18"/>
          <w:szCs w:val="18"/>
        </w:rPr>
        <w:t xml:space="preserve"> advindas do setor financeiro (Var, CVar, downside)</w:t>
      </w:r>
      <w:r w:rsidR="00D57B5A">
        <w:rPr>
          <w:rFonts w:ascii="Arial" w:hAnsi="Arial" w:cs="Arial"/>
          <w:sz w:val="18"/>
          <w:szCs w:val="18"/>
        </w:rPr>
        <w:t>,</w:t>
      </w:r>
      <w:r w:rsidR="00DB3D7E">
        <w:rPr>
          <w:rFonts w:ascii="Arial" w:hAnsi="Arial" w:cs="Arial"/>
          <w:sz w:val="18"/>
          <w:szCs w:val="18"/>
        </w:rPr>
        <w:t xml:space="preserve"> que primeiramente entraram na comercialização</w:t>
      </w:r>
      <w:r w:rsidR="00D57B5A">
        <w:rPr>
          <w:rFonts w:ascii="Arial" w:hAnsi="Arial" w:cs="Arial"/>
          <w:sz w:val="18"/>
          <w:szCs w:val="18"/>
        </w:rPr>
        <w:t xml:space="preserve"> e estão penetrando no PEGEE</w:t>
      </w:r>
      <w:r w:rsidR="00B37A62">
        <w:rPr>
          <w:rFonts w:ascii="Arial" w:hAnsi="Arial" w:cs="Arial"/>
          <w:sz w:val="18"/>
          <w:szCs w:val="18"/>
        </w:rPr>
        <w:t xml:space="preserve">. </w:t>
      </w:r>
      <w:r w:rsidR="009912EB">
        <w:rPr>
          <w:rFonts w:ascii="Arial" w:hAnsi="Arial" w:cs="Arial"/>
          <w:sz w:val="18"/>
          <w:szCs w:val="18"/>
        </w:rPr>
        <w:t xml:space="preserve">Além disso, embora não </w:t>
      </w:r>
      <w:r w:rsidR="00D57B5A">
        <w:rPr>
          <w:rFonts w:ascii="Arial" w:hAnsi="Arial" w:cs="Arial"/>
          <w:sz w:val="18"/>
          <w:szCs w:val="18"/>
        </w:rPr>
        <w:t>constante como tema</w:t>
      </w:r>
      <w:r w:rsidR="009912EB">
        <w:rPr>
          <w:rFonts w:ascii="Arial" w:hAnsi="Arial" w:cs="Arial"/>
          <w:sz w:val="18"/>
          <w:szCs w:val="18"/>
        </w:rPr>
        <w:t xml:space="preserve"> no grupo</w:t>
      </w:r>
      <w:r w:rsidR="002E03DE">
        <w:rPr>
          <w:rFonts w:ascii="Arial" w:hAnsi="Arial" w:cs="Arial"/>
          <w:sz w:val="18"/>
          <w:szCs w:val="18"/>
        </w:rPr>
        <w:t xml:space="preserve"> de trabalho</w:t>
      </w:r>
      <w:r w:rsidR="009912EB">
        <w:rPr>
          <w:rFonts w:ascii="Arial" w:hAnsi="Arial" w:cs="Arial"/>
          <w:sz w:val="18"/>
          <w:szCs w:val="18"/>
        </w:rPr>
        <w:t>, a presente contribuição inclui questões relacionadas ao dimensionamento energético-econômico de UHEs</w:t>
      </w:r>
      <w:r w:rsidR="00D57B5A">
        <w:rPr>
          <w:rFonts w:ascii="Arial" w:hAnsi="Arial" w:cs="Arial"/>
          <w:sz w:val="18"/>
          <w:szCs w:val="18"/>
        </w:rPr>
        <w:t xml:space="preserve"> (cf. 6)</w:t>
      </w:r>
      <w:r w:rsidR="009912EB">
        <w:rPr>
          <w:rFonts w:ascii="Arial" w:hAnsi="Arial" w:cs="Arial"/>
          <w:sz w:val="18"/>
          <w:szCs w:val="18"/>
        </w:rPr>
        <w:t>.</w:t>
      </w:r>
    </w:p>
    <w:p w:rsidR="00E128F0" w:rsidRDefault="00E128F0" w:rsidP="006027B1">
      <w:pPr>
        <w:autoSpaceDE w:val="0"/>
        <w:autoSpaceDN w:val="0"/>
        <w:adjustRightInd w:val="0"/>
        <w:jc w:val="both"/>
        <w:rPr>
          <w:rFonts w:ascii="Arial" w:hAnsi="Arial" w:cs="Arial"/>
          <w:sz w:val="18"/>
          <w:szCs w:val="18"/>
        </w:rPr>
      </w:pPr>
    </w:p>
    <w:p w:rsidR="00E128F0" w:rsidRPr="00E128F0" w:rsidRDefault="00E128F0" w:rsidP="00E128F0">
      <w:pPr>
        <w:pStyle w:val="Ttulo2"/>
        <w:rPr>
          <w:sz w:val="18"/>
          <w:szCs w:val="18"/>
        </w:rPr>
      </w:pPr>
      <w:r w:rsidRPr="00E128F0">
        <w:rPr>
          <w:sz w:val="18"/>
          <w:szCs w:val="18"/>
        </w:rPr>
        <w:t xml:space="preserve">3.1 </w:t>
      </w:r>
      <w:r w:rsidR="009912EB">
        <w:rPr>
          <w:sz w:val="18"/>
          <w:szCs w:val="18"/>
        </w:rPr>
        <w:t>Critério Tradicional</w:t>
      </w:r>
    </w:p>
    <w:p w:rsidR="00E128F0" w:rsidRDefault="00E128F0" w:rsidP="006027B1">
      <w:pPr>
        <w:autoSpaceDE w:val="0"/>
        <w:autoSpaceDN w:val="0"/>
        <w:adjustRightInd w:val="0"/>
        <w:jc w:val="both"/>
        <w:rPr>
          <w:rFonts w:ascii="Arial" w:hAnsi="Arial" w:cs="Arial"/>
          <w:sz w:val="18"/>
          <w:szCs w:val="18"/>
        </w:rPr>
      </w:pPr>
    </w:p>
    <w:p w:rsidR="002E03DE" w:rsidRDefault="002E03DE" w:rsidP="00D57B5A">
      <w:pPr>
        <w:autoSpaceDE w:val="0"/>
        <w:autoSpaceDN w:val="0"/>
        <w:adjustRightInd w:val="0"/>
        <w:spacing w:line="360" w:lineRule="auto"/>
        <w:jc w:val="both"/>
        <w:rPr>
          <w:rFonts w:ascii="Arial" w:hAnsi="Arial" w:cs="Arial"/>
          <w:sz w:val="18"/>
          <w:szCs w:val="18"/>
        </w:rPr>
      </w:pPr>
      <w:r w:rsidRPr="002E03DE">
        <w:rPr>
          <w:rFonts w:ascii="Arial" w:hAnsi="Arial" w:cs="Arial"/>
          <w:sz w:val="18"/>
          <w:szCs w:val="18"/>
        </w:rPr>
        <w:t xml:space="preserve">Tal abordagem, usada  nos estudos da Canambra, parte da seguinte premissa: “O sistema deve ser capaz de atender à carga sem déficits no caso de ocorrência de qualquer das sequências de vazões existentes no registro histórico”. A sentença ignora o fato da vazão ser uma variável aleatória. Portanto, este enfoque determinístico define o Suprimento de Energia como a capacidade do parque gerador ser capaz de atender ao mercado projetado sem déficits de energia no caso da ocorrência de qualquer das sequências de vazões existentes no registro histórico. Já o Suprimento de Ponta, relaciona-se ao sistema gerador ser capaz de atender, sem déficits de potência, a demanda máxima do mercado, considerando os fatores de reserva associados às taxas de saídas de unidades geradoras, devido às paradas forçadas por quebra e manutenção preventiva. Atualmente, sua utilização se faz presente no dimensionamento energético-econômico de UHEs e como fator de ponderação para o cálculo da garantia física de UHEs (cf. 3.2). </w:t>
      </w:r>
    </w:p>
    <w:p w:rsidR="002E03DE" w:rsidRDefault="002E03DE" w:rsidP="00D57B5A">
      <w:pPr>
        <w:autoSpaceDE w:val="0"/>
        <w:autoSpaceDN w:val="0"/>
        <w:adjustRightInd w:val="0"/>
        <w:spacing w:line="360" w:lineRule="auto"/>
        <w:jc w:val="both"/>
        <w:rPr>
          <w:rFonts w:ascii="Arial" w:hAnsi="Arial" w:cs="Arial"/>
          <w:sz w:val="18"/>
          <w:szCs w:val="18"/>
        </w:rPr>
      </w:pPr>
    </w:p>
    <w:p w:rsidR="002E03DE" w:rsidRDefault="002E03DE" w:rsidP="00D57B5A">
      <w:pPr>
        <w:autoSpaceDE w:val="0"/>
        <w:autoSpaceDN w:val="0"/>
        <w:adjustRightInd w:val="0"/>
        <w:spacing w:line="360" w:lineRule="auto"/>
        <w:jc w:val="both"/>
        <w:rPr>
          <w:rFonts w:ascii="Arial" w:hAnsi="Arial" w:cs="Arial"/>
          <w:sz w:val="18"/>
          <w:szCs w:val="18"/>
        </w:rPr>
      </w:pPr>
      <w:r w:rsidRPr="002E03DE">
        <w:rPr>
          <w:rFonts w:ascii="Arial" w:hAnsi="Arial" w:cs="Arial"/>
          <w:sz w:val="18"/>
          <w:szCs w:val="18"/>
        </w:rPr>
        <w:t xml:space="preserve">Os principais conceitos associados ao </w:t>
      </w:r>
      <w:r>
        <w:rPr>
          <w:rFonts w:ascii="Arial" w:hAnsi="Arial" w:cs="Arial"/>
          <w:sz w:val="18"/>
          <w:szCs w:val="18"/>
        </w:rPr>
        <w:t xml:space="preserve">suprimento de energia , </w:t>
      </w:r>
      <w:r w:rsidR="00D57B5A">
        <w:rPr>
          <w:rFonts w:ascii="Arial" w:hAnsi="Arial" w:cs="Arial"/>
          <w:sz w:val="18"/>
          <w:szCs w:val="18"/>
        </w:rPr>
        <w:t>pela abordagem tradicionalista</w:t>
      </w:r>
      <w:r>
        <w:rPr>
          <w:rFonts w:ascii="Arial" w:hAnsi="Arial" w:cs="Arial"/>
          <w:sz w:val="18"/>
          <w:szCs w:val="18"/>
        </w:rPr>
        <w:t>,</w:t>
      </w:r>
      <w:r w:rsidRPr="002E03DE">
        <w:rPr>
          <w:rFonts w:ascii="Arial" w:hAnsi="Arial" w:cs="Arial"/>
          <w:sz w:val="18"/>
          <w:szCs w:val="18"/>
        </w:rPr>
        <w:t xml:space="preserve"> são</w:t>
      </w:r>
      <w:r w:rsidR="00054145">
        <w:rPr>
          <w:rFonts w:ascii="Arial" w:hAnsi="Arial" w:cs="Arial"/>
          <w:sz w:val="18"/>
          <w:szCs w:val="18"/>
        </w:rPr>
        <w:t xml:space="preserve"> (5)</w:t>
      </w:r>
      <w:r w:rsidRPr="002E03DE">
        <w:rPr>
          <w:rFonts w:ascii="Arial" w:hAnsi="Arial" w:cs="Arial"/>
          <w:sz w:val="18"/>
          <w:szCs w:val="18"/>
        </w:rPr>
        <w:t>:</w:t>
      </w:r>
    </w:p>
    <w:p w:rsidR="002E03DE" w:rsidRPr="002E03DE" w:rsidRDefault="002E03DE" w:rsidP="00D57B5A">
      <w:pPr>
        <w:autoSpaceDE w:val="0"/>
        <w:autoSpaceDN w:val="0"/>
        <w:adjustRightInd w:val="0"/>
        <w:spacing w:line="360" w:lineRule="auto"/>
        <w:jc w:val="both"/>
        <w:rPr>
          <w:rFonts w:ascii="Arial" w:hAnsi="Arial" w:cs="Arial"/>
          <w:sz w:val="18"/>
          <w:szCs w:val="18"/>
        </w:rPr>
      </w:pPr>
    </w:p>
    <w:p w:rsidR="002E03DE" w:rsidRDefault="002E03DE" w:rsidP="00D57B5A">
      <w:pPr>
        <w:pStyle w:val="PargrafodaLista"/>
        <w:numPr>
          <w:ilvl w:val="0"/>
          <w:numId w:val="25"/>
        </w:numPr>
        <w:autoSpaceDE w:val="0"/>
        <w:autoSpaceDN w:val="0"/>
        <w:adjustRightInd w:val="0"/>
        <w:spacing w:line="360" w:lineRule="auto"/>
        <w:ind w:left="284" w:hanging="284"/>
        <w:jc w:val="both"/>
        <w:rPr>
          <w:rFonts w:ascii="Arial" w:hAnsi="Arial" w:cs="Arial"/>
          <w:sz w:val="18"/>
          <w:szCs w:val="18"/>
        </w:rPr>
      </w:pPr>
      <w:r w:rsidRPr="002E03DE">
        <w:rPr>
          <w:rFonts w:ascii="Arial" w:hAnsi="Arial" w:cs="Arial"/>
          <w:sz w:val="18"/>
          <w:szCs w:val="18"/>
        </w:rPr>
        <w:t>Energia Firme ou Carga Crítica de um Sistema Gerador – máxima carga média anual constante que pode ser atendida continuamente, sem déficits, na hipótese de repetição de toda a sequência de vazões afluentes naturais registradas no histórico;</w:t>
      </w:r>
    </w:p>
    <w:p w:rsidR="002E03DE" w:rsidRPr="002E03DE" w:rsidRDefault="002E03DE" w:rsidP="00D57B5A">
      <w:pPr>
        <w:pStyle w:val="PargrafodaLista"/>
        <w:autoSpaceDE w:val="0"/>
        <w:autoSpaceDN w:val="0"/>
        <w:adjustRightInd w:val="0"/>
        <w:spacing w:line="360" w:lineRule="auto"/>
        <w:ind w:left="284"/>
        <w:jc w:val="both"/>
        <w:rPr>
          <w:rFonts w:ascii="Arial" w:hAnsi="Arial" w:cs="Arial"/>
          <w:sz w:val="18"/>
          <w:szCs w:val="18"/>
        </w:rPr>
      </w:pPr>
      <w:r w:rsidRPr="002E03DE">
        <w:rPr>
          <w:rFonts w:ascii="Arial" w:hAnsi="Arial" w:cs="Arial"/>
          <w:sz w:val="18"/>
          <w:szCs w:val="18"/>
        </w:rPr>
        <w:t xml:space="preserve"> </w:t>
      </w:r>
    </w:p>
    <w:p w:rsidR="002E03DE" w:rsidRDefault="002E03DE" w:rsidP="00D57B5A">
      <w:pPr>
        <w:pStyle w:val="PargrafodaLista"/>
        <w:numPr>
          <w:ilvl w:val="0"/>
          <w:numId w:val="25"/>
        </w:numPr>
        <w:autoSpaceDE w:val="0"/>
        <w:autoSpaceDN w:val="0"/>
        <w:adjustRightInd w:val="0"/>
        <w:spacing w:line="360" w:lineRule="auto"/>
        <w:ind w:left="284" w:hanging="284"/>
        <w:jc w:val="both"/>
        <w:rPr>
          <w:rFonts w:ascii="Arial" w:hAnsi="Arial" w:cs="Arial"/>
          <w:sz w:val="18"/>
          <w:szCs w:val="18"/>
        </w:rPr>
      </w:pPr>
      <w:r w:rsidRPr="002E03DE">
        <w:rPr>
          <w:rFonts w:ascii="Arial" w:hAnsi="Arial" w:cs="Arial"/>
          <w:sz w:val="18"/>
          <w:szCs w:val="18"/>
        </w:rPr>
        <w:t>Período Crítico – maior período de tempo correspondente à sequência de afluências naturais históricas, em que o reservatório do sistema, partindo do cheio, são deplecionados ao máximo possível para garantir o atendimento à carga crítica deste sistema, sem reenchimentos totais intermediários;</w:t>
      </w:r>
    </w:p>
    <w:p w:rsidR="002E03DE" w:rsidRPr="002E03DE" w:rsidRDefault="002E03DE" w:rsidP="00D57B5A">
      <w:pPr>
        <w:pStyle w:val="PargrafodaLista"/>
        <w:spacing w:line="360" w:lineRule="auto"/>
        <w:rPr>
          <w:rFonts w:ascii="Arial" w:hAnsi="Arial" w:cs="Arial"/>
          <w:sz w:val="18"/>
          <w:szCs w:val="18"/>
        </w:rPr>
      </w:pPr>
    </w:p>
    <w:p w:rsidR="002E03DE" w:rsidRDefault="002E03DE" w:rsidP="00D57B5A">
      <w:pPr>
        <w:pStyle w:val="PargrafodaLista"/>
        <w:numPr>
          <w:ilvl w:val="0"/>
          <w:numId w:val="25"/>
        </w:numPr>
        <w:autoSpaceDE w:val="0"/>
        <w:autoSpaceDN w:val="0"/>
        <w:adjustRightInd w:val="0"/>
        <w:spacing w:line="360" w:lineRule="auto"/>
        <w:ind w:left="284" w:hanging="284"/>
        <w:jc w:val="both"/>
        <w:rPr>
          <w:rFonts w:ascii="Arial" w:hAnsi="Arial" w:cs="Arial"/>
          <w:sz w:val="18"/>
          <w:szCs w:val="18"/>
        </w:rPr>
      </w:pPr>
      <w:r w:rsidRPr="002E03DE">
        <w:rPr>
          <w:rFonts w:ascii="Arial" w:hAnsi="Arial" w:cs="Arial"/>
          <w:sz w:val="18"/>
          <w:szCs w:val="18"/>
        </w:rPr>
        <w:t>Energia Firme de uma Usina (Energia Firme Local) – é o valor esperado de energia que uma UHE é capaz de gerar ao longo do período crítico do sistema. (</w:t>
      </w:r>
      <w:r w:rsidR="00054145">
        <w:rPr>
          <w:rFonts w:ascii="Arial" w:hAnsi="Arial" w:cs="Arial"/>
          <w:sz w:val="18"/>
          <w:szCs w:val="18"/>
        </w:rPr>
        <w:t>6</w:t>
      </w:r>
      <w:r w:rsidRPr="002E03DE">
        <w:rPr>
          <w:rFonts w:ascii="Arial" w:hAnsi="Arial" w:cs="Arial"/>
          <w:sz w:val="18"/>
          <w:szCs w:val="18"/>
        </w:rPr>
        <w:t xml:space="preserve">)  comenta que este conceito surgiu no século XIX, associado ao dimensionamento de reservatórios para o abastecimento de água à cidades. No tocante ao setor elétrico brasileiro, sua utilização já era conhecida na década de 1950, com um enfoque mais otimista, </w:t>
      </w:r>
      <w:r w:rsidRPr="002E03DE">
        <w:rPr>
          <w:rFonts w:ascii="Arial" w:hAnsi="Arial" w:cs="Arial"/>
          <w:sz w:val="18"/>
          <w:szCs w:val="18"/>
        </w:rPr>
        <w:lastRenderedPageBreak/>
        <w:t>pois baseava-se no segundo período mais seco da história. Tal fato contribuiu para a existência de racionamentos na época;</w:t>
      </w:r>
    </w:p>
    <w:p w:rsidR="002E03DE" w:rsidRPr="002E03DE" w:rsidRDefault="002E03DE" w:rsidP="00D57B5A">
      <w:pPr>
        <w:pStyle w:val="PargrafodaLista"/>
        <w:autoSpaceDE w:val="0"/>
        <w:autoSpaceDN w:val="0"/>
        <w:adjustRightInd w:val="0"/>
        <w:spacing w:line="360" w:lineRule="auto"/>
        <w:ind w:left="284"/>
        <w:jc w:val="both"/>
        <w:rPr>
          <w:rFonts w:ascii="Arial" w:hAnsi="Arial" w:cs="Arial"/>
          <w:sz w:val="18"/>
          <w:szCs w:val="18"/>
        </w:rPr>
      </w:pPr>
    </w:p>
    <w:p w:rsidR="002E03DE" w:rsidRDefault="002E03DE" w:rsidP="00D57B5A">
      <w:pPr>
        <w:pStyle w:val="PargrafodaLista"/>
        <w:numPr>
          <w:ilvl w:val="0"/>
          <w:numId w:val="25"/>
        </w:numPr>
        <w:autoSpaceDE w:val="0"/>
        <w:autoSpaceDN w:val="0"/>
        <w:adjustRightInd w:val="0"/>
        <w:spacing w:line="360" w:lineRule="auto"/>
        <w:ind w:left="284" w:hanging="284"/>
        <w:jc w:val="both"/>
        <w:rPr>
          <w:rFonts w:ascii="Arial" w:hAnsi="Arial" w:cs="Arial"/>
          <w:sz w:val="18"/>
          <w:szCs w:val="18"/>
        </w:rPr>
      </w:pPr>
      <w:r w:rsidRPr="002E03DE">
        <w:rPr>
          <w:rFonts w:ascii="Arial" w:hAnsi="Arial" w:cs="Arial"/>
          <w:sz w:val="18"/>
          <w:szCs w:val="18"/>
        </w:rPr>
        <w:t>Energia Firme Econômica de um Sistema Gerador - máxima carga média anual constante que pode ser atendida continuamente, sem déficits, na hipótese de repetição de toda a sequência de vazões afluentes naturais registradas no histórico considerando, no entanto, restrições de natureza econômica ao pleno atendimento das disponibilidades das usinas;</w:t>
      </w:r>
    </w:p>
    <w:p w:rsidR="002E03DE" w:rsidRPr="002E03DE" w:rsidRDefault="002E03DE" w:rsidP="00D57B5A">
      <w:pPr>
        <w:pStyle w:val="PargrafodaLista"/>
        <w:autoSpaceDE w:val="0"/>
        <w:autoSpaceDN w:val="0"/>
        <w:adjustRightInd w:val="0"/>
        <w:spacing w:line="360" w:lineRule="auto"/>
        <w:ind w:left="284"/>
        <w:jc w:val="both"/>
        <w:rPr>
          <w:rFonts w:ascii="Arial" w:hAnsi="Arial" w:cs="Arial"/>
          <w:sz w:val="18"/>
          <w:szCs w:val="18"/>
        </w:rPr>
      </w:pPr>
    </w:p>
    <w:p w:rsidR="002E03DE" w:rsidRDefault="002E03DE" w:rsidP="00D57B5A">
      <w:pPr>
        <w:pStyle w:val="PargrafodaLista"/>
        <w:numPr>
          <w:ilvl w:val="0"/>
          <w:numId w:val="25"/>
        </w:numPr>
        <w:autoSpaceDE w:val="0"/>
        <w:autoSpaceDN w:val="0"/>
        <w:adjustRightInd w:val="0"/>
        <w:spacing w:line="360" w:lineRule="auto"/>
        <w:ind w:left="284" w:hanging="284"/>
        <w:jc w:val="both"/>
        <w:rPr>
          <w:rFonts w:ascii="Arial" w:hAnsi="Arial" w:cs="Arial"/>
          <w:sz w:val="18"/>
          <w:szCs w:val="18"/>
        </w:rPr>
      </w:pPr>
      <w:r w:rsidRPr="002E03DE">
        <w:rPr>
          <w:rFonts w:ascii="Arial" w:hAnsi="Arial" w:cs="Arial"/>
          <w:sz w:val="18"/>
          <w:szCs w:val="18"/>
        </w:rPr>
        <w:t>Energia Média de um Sistema ou Usina – é a média das energias geráveis mensais em todo o período do histórico;</w:t>
      </w:r>
    </w:p>
    <w:p w:rsidR="002E03DE" w:rsidRPr="002E03DE" w:rsidRDefault="002E03DE" w:rsidP="002E03DE">
      <w:pPr>
        <w:pStyle w:val="PargrafodaLista"/>
        <w:rPr>
          <w:rFonts w:ascii="Arial" w:hAnsi="Arial" w:cs="Arial"/>
          <w:sz w:val="18"/>
          <w:szCs w:val="18"/>
        </w:rPr>
      </w:pPr>
    </w:p>
    <w:p w:rsidR="009912EB" w:rsidRDefault="002E03DE" w:rsidP="002E03DE">
      <w:pPr>
        <w:pStyle w:val="PargrafodaLista"/>
        <w:numPr>
          <w:ilvl w:val="0"/>
          <w:numId w:val="25"/>
        </w:numPr>
        <w:autoSpaceDE w:val="0"/>
        <w:autoSpaceDN w:val="0"/>
        <w:adjustRightInd w:val="0"/>
        <w:ind w:left="284" w:hanging="284"/>
        <w:jc w:val="both"/>
        <w:rPr>
          <w:rFonts w:ascii="Arial" w:hAnsi="Arial" w:cs="Arial"/>
          <w:sz w:val="18"/>
          <w:szCs w:val="18"/>
        </w:rPr>
      </w:pPr>
      <w:r w:rsidRPr="002E03DE">
        <w:rPr>
          <w:rFonts w:ascii="Arial" w:hAnsi="Arial" w:cs="Arial"/>
          <w:sz w:val="18"/>
          <w:szCs w:val="18"/>
        </w:rPr>
        <w:t>Energia Secundária de um Sistema ou Usina – diferença entre a energia média e a firme.</w:t>
      </w:r>
    </w:p>
    <w:p w:rsidR="00701F66" w:rsidRPr="00701F66" w:rsidRDefault="00701F66" w:rsidP="00701F66">
      <w:pPr>
        <w:pStyle w:val="PargrafodaLista"/>
        <w:rPr>
          <w:rFonts w:ascii="Arial" w:hAnsi="Arial" w:cs="Arial"/>
          <w:sz w:val="18"/>
          <w:szCs w:val="18"/>
        </w:rPr>
      </w:pPr>
    </w:p>
    <w:p w:rsidR="00701F66" w:rsidRDefault="00701F66" w:rsidP="00D57B5A">
      <w:pPr>
        <w:spacing w:line="360" w:lineRule="auto"/>
        <w:jc w:val="both"/>
        <w:rPr>
          <w:rFonts w:ascii="Arial" w:hAnsi="Arial" w:cs="Arial"/>
          <w:sz w:val="18"/>
          <w:szCs w:val="18"/>
        </w:rPr>
      </w:pPr>
      <w:r>
        <w:rPr>
          <w:rFonts w:ascii="Arial" w:hAnsi="Arial" w:cs="Arial"/>
          <w:sz w:val="18"/>
          <w:szCs w:val="18"/>
        </w:rPr>
        <w:t xml:space="preserve">vii) </w:t>
      </w:r>
      <w:r w:rsidRPr="00701F66">
        <w:rPr>
          <w:rFonts w:ascii="Arial" w:hAnsi="Arial" w:cs="Arial"/>
          <w:sz w:val="18"/>
          <w:szCs w:val="18"/>
        </w:rPr>
        <w:t>Energia Vertida – energia associada à vazão vertida, liberada por não poder ser armazenada;</w:t>
      </w:r>
    </w:p>
    <w:p w:rsidR="00701F66" w:rsidRPr="00701F66" w:rsidRDefault="00701F66" w:rsidP="00D57B5A">
      <w:pPr>
        <w:spacing w:line="360" w:lineRule="auto"/>
        <w:jc w:val="both"/>
        <w:rPr>
          <w:rFonts w:ascii="Arial" w:hAnsi="Arial" w:cs="Arial"/>
          <w:sz w:val="18"/>
          <w:szCs w:val="18"/>
        </w:rPr>
      </w:pPr>
      <w:r>
        <w:rPr>
          <w:rFonts w:ascii="Arial" w:hAnsi="Arial" w:cs="Arial"/>
          <w:sz w:val="18"/>
          <w:szCs w:val="18"/>
        </w:rPr>
        <w:t xml:space="preserve">viii) </w:t>
      </w:r>
      <w:r w:rsidRPr="00701F66">
        <w:rPr>
          <w:rFonts w:ascii="Arial" w:hAnsi="Arial" w:cs="Arial"/>
          <w:sz w:val="18"/>
          <w:szCs w:val="18"/>
        </w:rPr>
        <w:t>Energia Vertida Turbinável – parcela da energia vertida que poderia ser gerada caso houvesse mercado.</w:t>
      </w:r>
    </w:p>
    <w:p w:rsidR="002E03DE" w:rsidRPr="002E03DE" w:rsidRDefault="002E03DE" w:rsidP="00D57B5A">
      <w:pPr>
        <w:pStyle w:val="PargrafodaLista"/>
        <w:spacing w:line="360" w:lineRule="auto"/>
        <w:rPr>
          <w:rFonts w:ascii="Arial" w:hAnsi="Arial" w:cs="Arial"/>
          <w:sz w:val="18"/>
          <w:szCs w:val="18"/>
        </w:rPr>
      </w:pPr>
    </w:p>
    <w:p w:rsidR="002E03DE" w:rsidRPr="002E03DE" w:rsidRDefault="002E03DE" w:rsidP="00D57B5A">
      <w:pPr>
        <w:autoSpaceDE w:val="0"/>
        <w:autoSpaceDN w:val="0"/>
        <w:adjustRightInd w:val="0"/>
        <w:spacing w:line="360" w:lineRule="auto"/>
        <w:jc w:val="both"/>
        <w:rPr>
          <w:rFonts w:ascii="Arial" w:hAnsi="Arial" w:cs="Arial"/>
          <w:sz w:val="18"/>
          <w:szCs w:val="18"/>
        </w:rPr>
      </w:pPr>
      <w:r>
        <w:rPr>
          <w:rFonts w:ascii="Arial" w:hAnsi="Arial" w:cs="Arial"/>
          <w:sz w:val="18"/>
          <w:szCs w:val="18"/>
        </w:rPr>
        <w:t>Para o suprimento de ponta, segundo o mesmo critério, destacam-se</w:t>
      </w:r>
      <w:r w:rsidR="00054145">
        <w:rPr>
          <w:rFonts w:ascii="Arial" w:hAnsi="Arial" w:cs="Arial"/>
          <w:sz w:val="18"/>
          <w:szCs w:val="18"/>
        </w:rPr>
        <w:t xml:space="preserve"> (7) </w:t>
      </w:r>
      <w:r>
        <w:rPr>
          <w:rFonts w:ascii="Arial" w:hAnsi="Arial" w:cs="Arial"/>
          <w:sz w:val="18"/>
          <w:szCs w:val="18"/>
        </w:rPr>
        <w:t>:</w:t>
      </w:r>
    </w:p>
    <w:p w:rsidR="002E03DE" w:rsidRPr="002E03DE" w:rsidRDefault="002E03DE" w:rsidP="00D57B5A">
      <w:pPr>
        <w:pStyle w:val="PargrafodaLista"/>
        <w:spacing w:line="360" w:lineRule="auto"/>
        <w:rPr>
          <w:rFonts w:ascii="Arial" w:hAnsi="Arial" w:cs="Arial"/>
          <w:sz w:val="18"/>
          <w:szCs w:val="18"/>
        </w:rPr>
      </w:pPr>
    </w:p>
    <w:p w:rsidR="005F7642" w:rsidRDefault="002E03DE" w:rsidP="00D57B5A">
      <w:pPr>
        <w:autoSpaceDE w:val="0"/>
        <w:autoSpaceDN w:val="0"/>
        <w:adjustRightInd w:val="0"/>
        <w:spacing w:line="360" w:lineRule="auto"/>
        <w:rPr>
          <w:rFonts w:ascii="Arial" w:hAnsi="Arial" w:cs="Arial"/>
          <w:sz w:val="18"/>
          <w:szCs w:val="18"/>
        </w:rPr>
      </w:pPr>
      <w:r>
        <w:rPr>
          <w:rFonts w:ascii="Arial" w:hAnsi="Arial" w:cs="Arial"/>
          <w:sz w:val="18"/>
          <w:szCs w:val="18"/>
        </w:rPr>
        <w:t xml:space="preserve">i) </w:t>
      </w:r>
      <w:r w:rsidR="005F7642">
        <w:rPr>
          <w:rFonts w:ascii="Arial" w:hAnsi="Arial" w:cs="Arial"/>
          <w:sz w:val="18"/>
          <w:szCs w:val="18"/>
        </w:rPr>
        <w:t>Reserva Própria de Geração (RG) – total da demanda horária do fornecimento de responsabilidade dessa empresa menos o total da demanda horária dos recebimentos;</w:t>
      </w:r>
    </w:p>
    <w:p w:rsidR="005F7642" w:rsidRDefault="005F7642" w:rsidP="00D57B5A">
      <w:pPr>
        <w:autoSpaceDE w:val="0"/>
        <w:autoSpaceDN w:val="0"/>
        <w:adjustRightInd w:val="0"/>
        <w:spacing w:line="360" w:lineRule="auto"/>
        <w:rPr>
          <w:rFonts w:ascii="Arial" w:hAnsi="Arial" w:cs="Arial"/>
          <w:sz w:val="18"/>
          <w:szCs w:val="18"/>
        </w:rPr>
      </w:pPr>
    </w:p>
    <w:p w:rsidR="002E03DE" w:rsidRDefault="002E03DE" w:rsidP="00D57B5A">
      <w:pPr>
        <w:autoSpaceDE w:val="0"/>
        <w:autoSpaceDN w:val="0"/>
        <w:adjustRightInd w:val="0"/>
        <w:spacing w:line="360" w:lineRule="auto"/>
        <w:rPr>
          <w:rFonts w:ascii="Arial" w:hAnsi="Arial" w:cs="Arial"/>
          <w:sz w:val="18"/>
          <w:szCs w:val="18"/>
        </w:rPr>
      </w:pPr>
      <w:r>
        <w:rPr>
          <w:rFonts w:ascii="Arial" w:hAnsi="Arial" w:cs="Arial"/>
          <w:sz w:val="18"/>
          <w:szCs w:val="18"/>
        </w:rPr>
        <w:t xml:space="preserve">ii) </w:t>
      </w:r>
      <w:r w:rsidR="005F7642" w:rsidRPr="002E03DE">
        <w:rPr>
          <w:rFonts w:ascii="Arial" w:hAnsi="Arial" w:cs="Arial"/>
          <w:sz w:val="18"/>
          <w:szCs w:val="18"/>
        </w:rPr>
        <w:t xml:space="preserve">Reserva </w:t>
      </w:r>
      <w:r w:rsidR="005F7642">
        <w:rPr>
          <w:rFonts w:ascii="Arial" w:hAnsi="Arial" w:cs="Arial"/>
          <w:sz w:val="18"/>
          <w:szCs w:val="18"/>
        </w:rPr>
        <w:t>Primária (R</w:t>
      </w:r>
      <w:r w:rsidR="005B46CE">
        <w:rPr>
          <w:rFonts w:ascii="Arial" w:hAnsi="Arial" w:cs="Arial"/>
          <w:sz w:val="18"/>
          <w:szCs w:val="18"/>
        </w:rPr>
        <w:t>1</w:t>
      </w:r>
      <w:r w:rsidR="005F7642">
        <w:rPr>
          <w:rFonts w:ascii="Arial" w:hAnsi="Arial" w:cs="Arial"/>
          <w:sz w:val="18"/>
          <w:szCs w:val="18"/>
        </w:rPr>
        <w:t>)</w:t>
      </w:r>
      <w:r w:rsidR="005F7642" w:rsidRPr="002E03DE">
        <w:rPr>
          <w:rFonts w:ascii="Arial" w:hAnsi="Arial" w:cs="Arial"/>
          <w:sz w:val="18"/>
          <w:szCs w:val="18"/>
        </w:rPr>
        <w:t xml:space="preserve"> – </w:t>
      </w:r>
      <w:r w:rsidR="005F7642">
        <w:rPr>
          <w:rFonts w:ascii="Arial" w:hAnsi="Arial" w:cs="Arial"/>
          <w:sz w:val="18"/>
          <w:szCs w:val="18"/>
        </w:rPr>
        <w:t>é uma reserva de regulação de frequência e corresponde a 1% da RPG;</w:t>
      </w:r>
    </w:p>
    <w:p w:rsidR="005F7642" w:rsidRDefault="005F7642" w:rsidP="00D57B5A">
      <w:pPr>
        <w:autoSpaceDE w:val="0"/>
        <w:autoSpaceDN w:val="0"/>
        <w:adjustRightInd w:val="0"/>
        <w:spacing w:line="360" w:lineRule="auto"/>
        <w:rPr>
          <w:rFonts w:ascii="Arial" w:hAnsi="Arial" w:cs="Arial"/>
          <w:sz w:val="18"/>
          <w:szCs w:val="18"/>
        </w:rPr>
      </w:pPr>
    </w:p>
    <w:p w:rsidR="005F7642" w:rsidRDefault="005F7642" w:rsidP="00D57B5A">
      <w:pPr>
        <w:autoSpaceDE w:val="0"/>
        <w:autoSpaceDN w:val="0"/>
        <w:adjustRightInd w:val="0"/>
        <w:spacing w:line="360" w:lineRule="auto"/>
        <w:rPr>
          <w:rFonts w:ascii="Arial" w:hAnsi="Arial" w:cs="Arial"/>
          <w:sz w:val="18"/>
          <w:szCs w:val="18"/>
        </w:rPr>
      </w:pPr>
      <w:r>
        <w:rPr>
          <w:rFonts w:ascii="Arial" w:hAnsi="Arial" w:cs="Arial"/>
          <w:sz w:val="18"/>
          <w:szCs w:val="18"/>
        </w:rPr>
        <w:t>iv) Reserva Secundária (R</w:t>
      </w:r>
      <w:r w:rsidR="005B46CE">
        <w:rPr>
          <w:rFonts w:ascii="Arial" w:hAnsi="Arial" w:cs="Arial"/>
          <w:sz w:val="18"/>
          <w:szCs w:val="18"/>
        </w:rPr>
        <w:t>2</w:t>
      </w:r>
      <w:r>
        <w:rPr>
          <w:rFonts w:ascii="Arial" w:hAnsi="Arial" w:cs="Arial"/>
          <w:sz w:val="18"/>
          <w:szCs w:val="18"/>
        </w:rPr>
        <w:t xml:space="preserve">) – sua função é recuperar a frequência do sistema no caso variações instantâneas de carga e </w:t>
      </w:r>
      <w:r w:rsidR="005B46CE">
        <w:rPr>
          <w:rFonts w:ascii="Arial" w:hAnsi="Arial" w:cs="Arial"/>
          <w:sz w:val="18"/>
          <w:szCs w:val="18"/>
        </w:rPr>
        <w:t>é resultado da soma de 2,5% da RPG com 1,5% da carga própria da empresa.</w:t>
      </w:r>
    </w:p>
    <w:p w:rsidR="005B46CE" w:rsidRDefault="005B46CE" w:rsidP="00D57B5A">
      <w:pPr>
        <w:autoSpaceDE w:val="0"/>
        <w:autoSpaceDN w:val="0"/>
        <w:adjustRightInd w:val="0"/>
        <w:spacing w:line="360" w:lineRule="auto"/>
        <w:rPr>
          <w:rFonts w:ascii="Arial" w:hAnsi="Arial" w:cs="Arial"/>
          <w:sz w:val="18"/>
          <w:szCs w:val="18"/>
        </w:rPr>
      </w:pPr>
    </w:p>
    <w:p w:rsidR="005B46CE" w:rsidRDefault="005B46CE" w:rsidP="00D57B5A">
      <w:pPr>
        <w:autoSpaceDE w:val="0"/>
        <w:autoSpaceDN w:val="0"/>
        <w:adjustRightInd w:val="0"/>
        <w:spacing w:line="360" w:lineRule="auto"/>
        <w:rPr>
          <w:rFonts w:ascii="Arial" w:hAnsi="Arial" w:cs="Arial"/>
          <w:sz w:val="18"/>
          <w:szCs w:val="18"/>
        </w:rPr>
      </w:pPr>
      <w:r>
        <w:rPr>
          <w:rFonts w:ascii="Arial" w:hAnsi="Arial" w:cs="Arial"/>
          <w:sz w:val="18"/>
          <w:szCs w:val="18"/>
        </w:rPr>
        <w:t xml:space="preserve">v) Reserva Girante (RG) – soma de R1 e R2. </w:t>
      </w:r>
    </w:p>
    <w:p w:rsidR="005B46CE" w:rsidRDefault="005B46CE" w:rsidP="00D57B5A">
      <w:pPr>
        <w:autoSpaceDE w:val="0"/>
        <w:autoSpaceDN w:val="0"/>
        <w:adjustRightInd w:val="0"/>
        <w:spacing w:line="360" w:lineRule="auto"/>
        <w:rPr>
          <w:rFonts w:ascii="Arial" w:hAnsi="Arial" w:cs="Arial"/>
          <w:sz w:val="18"/>
          <w:szCs w:val="18"/>
        </w:rPr>
      </w:pPr>
    </w:p>
    <w:p w:rsidR="005B46CE" w:rsidRDefault="005B46CE" w:rsidP="00D57B5A">
      <w:pPr>
        <w:autoSpaceDE w:val="0"/>
        <w:autoSpaceDN w:val="0"/>
        <w:adjustRightInd w:val="0"/>
        <w:spacing w:line="360" w:lineRule="auto"/>
        <w:rPr>
          <w:rFonts w:ascii="Arial" w:hAnsi="Arial" w:cs="Arial"/>
          <w:sz w:val="18"/>
          <w:szCs w:val="18"/>
        </w:rPr>
      </w:pPr>
      <w:r>
        <w:rPr>
          <w:rFonts w:ascii="Arial" w:hAnsi="Arial" w:cs="Arial"/>
          <w:sz w:val="18"/>
          <w:szCs w:val="18"/>
        </w:rPr>
        <w:t>vi) Reserva Terciária (R3) – é igual a potência disponível da maior máquina do sistema interligado cuja função é cobrir saídas não programadas de unidades geradoras.</w:t>
      </w:r>
    </w:p>
    <w:p w:rsidR="005B46CE" w:rsidRDefault="005B46CE" w:rsidP="00D57B5A">
      <w:pPr>
        <w:autoSpaceDE w:val="0"/>
        <w:autoSpaceDN w:val="0"/>
        <w:adjustRightInd w:val="0"/>
        <w:spacing w:line="360" w:lineRule="auto"/>
        <w:rPr>
          <w:rFonts w:ascii="Arial" w:hAnsi="Arial" w:cs="Arial"/>
          <w:sz w:val="18"/>
          <w:szCs w:val="18"/>
        </w:rPr>
      </w:pPr>
    </w:p>
    <w:p w:rsidR="005B46CE" w:rsidRDefault="005B46CE" w:rsidP="00D57B5A">
      <w:pPr>
        <w:autoSpaceDE w:val="0"/>
        <w:autoSpaceDN w:val="0"/>
        <w:adjustRightInd w:val="0"/>
        <w:spacing w:line="360" w:lineRule="auto"/>
        <w:rPr>
          <w:rFonts w:ascii="Arial" w:hAnsi="Arial" w:cs="Arial"/>
          <w:sz w:val="18"/>
          <w:szCs w:val="18"/>
        </w:rPr>
      </w:pPr>
      <w:r>
        <w:rPr>
          <w:rFonts w:ascii="Arial" w:hAnsi="Arial" w:cs="Arial"/>
          <w:sz w:val="18"/>
          <w:szCs w:val="18"/>
        </w:rPr>
        <w:t>vii) Reserva Quaternária (R4) – complementa a R3 e deve estar disponível num período de até 24 horas.</w:t>
      </w:r>
    </w:p>
    <w:p w:rsidR="005B46CE" w:rsidRDefault="005B46CE" w:rsidP="00D57B5A">
      <w:pPr>
        <w:autoSpaceDE w:val="0"/>
        <w:autoSpaceDN w:val="0"/>
        <w:adjustRightInd w:val="0"/>
        <w:spacing w:line="360" w:lineRule="auto"/>
        <w:rPr>
          <w:rFonts w:ascii="Arial" w:hAnsi="Arial" w:cs="Arial"/>
          <w:sz w:val="18"/>
          <w:szCs w:val="18"/>
        </w:rPr>
      </w:pPr>
    </w:p>
    <w:p w:rsidR="005B46CE" w:rsidRDefault="00B27FAA" w:rsidP="00D57B5A">
      <w:pPr>
        <w:autoSpaceDE w:val="0"/>
        <w:autoSpaceDN w:val="0"/>
        <w:adjustRightInd w:val="0"/>
        <w:spacing w:line="360" w:lineRule="auto"/>
        <w:rPr>
          <w:rFonts w:ascii="Arial" w:hAnsi="Arial" w:cs="Arial"/>
          <w:sz w:val="18"/>
          <w:szCs w:val="18"/>
        </w:rPr>
      </w:pPr>
      <w:r>
        <w:rPr>
          <w:rFonts w:ascii="Arial" w:hAnsi="Arial" w:cs="Arial"/>
          <w:sz w:val="18"/>
          <w:szCs w:val="18"/>
        </w:rPr>
        <w:t>Os seguintes produtos são derivados deste critério:</w:t>
      </w:r>
    </w:p>
    <w:p w:rsidR="00B27FAA" w:rsidRDefault="00B27FAA" w:rsidP="002E03DE">
      <w:pPr>
        <w:autoSpaceDE w:val="0"/>
        <w:autoSpaceDN w:val="0"/>
        <w:adjustRightInd w:val="0"/>
        <w:rPr>
          <w:rFonts w:ascii="Arial" w:hAnsi="Arial" w:cs="Arial"/>
          <w:sz w:val="18"/>
          <w:szCs w:val="18"/>
        </w:rPr>
      </w:pPr>
    </w:p>
    <w:p w:rsidR="004843A0" w:rsidRDefault="00701F66" w:rsidP="00B27FAA">
      <w:pPr>
        <w:pStyle w:val="Ttulo3"/>
        <w:jc w:val="left"/>
        <w:rPr>
          <w:rFonts w:cs="Arial"/>
          <w:sz w:val="18"/>
          <w:szCs w:val="18"/>
          <w14:shadow w14:blurRad="0" w14:dist="0" w14:dir="0" w14:sx="0" w14:sy="0" w14:kx="0" w14:ky="0" w14:algn="none">
            <w14:srgbClr w14:val="000000"/>
          </w14:shadow>
        </w:rPr>
      </w:pPr>
      <w:r w:rsidRPr="00701F66">
        <w:rPr>
          <w:rFonts w:cs="Arial"/>
          <w:sz w:val="18"/>
          <w:szCs w:val="18"/>
          <w14:shadow w14:blurRad="0" w14:dist="0" w14:dir="0" w14:sx="0" w14:sy="0" w14:kx="0" w14:ky="0" w14:algn="none">
            <w14:srgbClr w14:val="000000"/>
          </w14:shadow>
        </w:rPr>
        <w:t xml:space="preserve">3.1.1 </w:t>
      </w:r>
      <w:r w:rsidR="004843A0">
        <w:rPr>
          <w:rFonts w:cs="Arial"/>
          <w:sz w:val="18"/>
          <w:szCs w:val="18"/>
          <w:u w:val="single"/>
          <w14:shadow w14:blurRad="0" w14:dist="0" w14:dir="0" w14:sx="0" w14:sy="0" w14:kx="0" w14:ky="0" w14:algn="none">
            <w14:srgbClr w14:val="000000"/>
          </w14:shadow>
        </w:rPr>
        <w:t>Ev</w:t>
      </w:r>
      <w:r w:rsidR="0035740B">
        <w:rPr>
          <w:rFonts w:cs="Arial"/>
          <w:sz w:val="18"/>
          <w:szCs w:val="18"/>
          <w:u w:val="single"/>
          <w14:shadow w14:blurRad="0" w14:dist="0" w14:dir="0" w14:sx="0" w14:sy="0" w14:kx="0" w14:ky="0" w14:algn="none">
            <w14:srgbClr w14:val="000000"/>
          </w14:shadow>
        </w:rPr>
        <w:t>olução das Caracterísiticas</w:t>
      </w:r>
      <w:r w:rsidR="004F463B">
        <w:rPr>
          <w:rFonts w:cs="Arial"/>
          <w:sz w:val="18"/>
          <w:szCs w:val="18"/>
          <w:u w:val="single"/>
          <w14:shadow w14:blurRad="0" w14:dist="0" w14:dir="0" w14:sx="0" w14:sy="0" w14:kx="0" w14:ky="0" w14:algn="none">
            <w14:srgbClr w14:val="000000"/>
          </w14:shadow>
        </w:rPr>
        <w:t xml:space="preserve"> Energéticas</w:t>
      </w:r>
      <w:r w:rsidR="0035740B">
        <w:rPr>
          <w:rFonts w:cs="Arial"/>
          <w:sz w:val="18"/>
          <w:szCs w:val="18"/>
          <w:u w:val="single"/>
          <w14:shadow w14:blurRad="0" w14:dist="0" w14:dir="0" w14:sx="0" w14:sy="0" w14:kx="0" w14:ky="0" w14:algn="none">
            <w14:srgbClr w14:val="000000"/>
          </w14:shadow>
        </w:rPr>
        <w:t xml:space="preserve"> </w:t>
      </w:r>
      <w:r w:rsidR="004F463B">
        <w:rPr>
          <w:rFonts w:cs="Arial"/>
          <w:sz w:val="18"/>
          <w:szCs w:val="18"/>
          <w:u w:val="single"/>
          <w14:shadow w14:blurRad="0" w14:dist="0" w14:dir="0" w14:sx="0" w14:sy="0" w14:kx="0" w14:ky="0" w14:algn="none">
            <w14:srgbClr w14:val="000000"/>
          </w14:shadow>
        </w:rPr>
        <w:t>a partir de Cortes Estáticos</w:t>
      </w:r>
    </w:p>
    <w:p w:rsidR="004843A0" w:rsidRDefault="004843A0" w:rsidP="00B27FAA">
      <w:pPr>
        <w:pStyle w:val="Ttulo3"/>
        <w:jc w:val="left"/>
        <w:rPr>
          <w:rFonts w:cs="Arial"/>
          <w:sz w:val="18"/>
          <w:szCs w:val="18"/>
          <w14:shadow w14:blurRad="0" w14:dist="0" w14:dir="0" w14:sx="0" w14:sy="0" w14:kx="0" w14:ky="0" w14:algn="none">
            <w14:srgbClr w14:val="000000"/>
          </w14:shadow>
        </w:rPr>
      </w:pPr>
    </w:p>
    <w:p w:rsidR="00125781" w:rsidRDefault="00125781" w:rsidP="00D172EE">
      <w:pPr>
        <w:pStyle w:val="Ttulo3"/>
        <w:jc w:val="both"/>
        <w:rPr>
          <w:rFonts w:cs="Arial"/>
          <w:sz w:val="18"/>
          <w:szCs w:val="18"/>
          <w14:shadow w14:blurRad="0" w14:dist="0" w14:dir="0" w14:sx="0" w14:sy="0" w14:kx="0" w14:ky="0" w14:algn="none">
            <w14:srgbClr w14:val="000000"/>
          </w14:shadow>
        </w:rPr>
      </w:pPr>
      <w:r>
        <w:rPr>
          <w:rFonts w:cs="Arial"/>
          <w:sz w:val="18"/>
          <w:szCs w:val="18"/>
          <w14:shadow w14:blurRad="0" w14:dist="0" w14:dir="0" w14:sx="0" w14:sy="0" w14:kx="0" w14:ky="0" w14:algn="none">
            <w14:srgbClr w14:val="000000"/>
          </w14:shadow>
        </w:rPr>
        <w:t>Já na fase de aprimoramento foram desenvolvid</w:t>
      </w:r>
      <w:r w:rsidR="00D57B5A">
        <w:rPr>
          <w:rFonts w:cs="Arial"/>
          <w:sz w:val="18"/>
          <w:szCs w:val="18"/>
          <w14:shadow w14:blurRad="0" w14:dist="0" w14:dir="0" w14:sx="0" w14:sy="0" w14:kx="0" w14:ky="0" w14:algn="none">
            <w14:srgbClr w14:val="000000"/>
          </w14:shadow>
        </w:rPr>
        <w:t xml:space="preserve">os modelos matemáticos </w:t>
      </w:r>
      <w:r>
        <w:rPr>
          <w:rFonts w:cs="Arial"/>
          <w:sz w:val="18"/>
          <w:szCs w:val="18"/>
          <w14:shadow w14:blurRad="0" w14:dist="0" w14:dir="0" w14:sx="0" w14:sy="0" w14:kx="0" w14:ky="0" w14:algn="none">
            <w14:srgbClr w14:val="000000"/>
          </w14:shadow>
        </w:rPr>
        <w:t>para a avaliação do desempenho de um sistema gerador de energia elétrica. Como estes são apenas uma representação da realidade (Mundo Simbólico)</w:t>
      </w:r>
      <w:r w:rsidR="00D57B5A">
        <w:rPr>
          <w:rFonts w:cs="Arial"/>
          <w:sz w:val="18"/>
          <w:szCs w:val="18"/>
          <w14:shadow w14:blurRad="0" w14:dist="0" w14:dir="0" w14:sx="0" w14:sy="0" w14:kx="0" w14:ky="0" w14:algn="none">
            <w14:srgbClr w14:val="000000"/>
          </w14:shadow>
        </w:rPr>
        <w:t xml:space="preserve">, seus </w:t>
      </w:r>
      <w:r>
        <w:rPr>
          <w:rFonts w:cs="Arial"/>
          <w:sz w:val="18"/>
          <w:szCs w:val="18"/>
          <w14:shadow w14:blurRad="0" w14:dist="0" w14:dir="0" w14:sx="0" w14:sy="0" w14:kx="0" w14:ky="0" w14:algn="none">
            <w14:srgbClr w14:val="000000"/>
          </w14:shadow>
        </w:rPr>
        <w:t>resultados obtidos e inform</w:t>
      </w:r>
      <w:r w:rsidR="00D57B5A">
        <w:rPr>
          <w:rFonts w:cs="Arial"/>
          <w:sz w:val="18"/>
          <w:szCs w:val="18"/>
          <w14:shadow w14:blurRad="0" w14:dist="0" w14:dir="0" w14:sx="0" w14:sy="0" w14:kx="0" w14:ky="0" w14:algn="none">
            <w14:srgbClr w14:val="000000"/>
          </w14:shadow>
        </w:rPr>
        <w:t>ados ao Mundo Real estão sujeito</w:t>
      </w:r>
      <w:r>
        <w:rPr>
          <w:rFonts w:cs="Arial"/>
          <w:sz w:val="18"/>
          <w:szCs w:val="18"/>
          <w14:shadow w14:blurRad="0" w14:dist="0" w14:dir="0" w14:sx="0" w14:sy="0" w14:kx="0" w14:ky="0" w14:algn="none">
            <w14:srgbClr w14:val="000000"/>
          </w14:shadow>
        </w:rPr>
        <w:t>s a diversos graus de simplificaç</w:t>
      </w:r>
      <w:r w:rsidR="006442B9">
        <w:rPr>
          <w:rFonts w:cs="Arial"/>
          <w:sz w:val="18"/>
          <w:szCs w:val="18"/>
          <w14:shadow w14:blurRad="0" w14:dist="0" w14:dir="0" w14:sx="0" w14:sy="0" w14:kx="0" w14:ky="0" w14:algn="none">
            <w14:srgbClr w14:val="000000"/>
          </w14:shadow>
        </w:rPr>
        <w:t>ões</w:t>
      </w:r>
      <w:r>
        <w:rPr>
          <w:rFonts w:cs="Arial"/>
          <w:sz w:val="18"/>
          <w:szCs w:val="18"/>
          <w14:shadow w14:blurRad="0" w14:dist="0" w14:dir="0" w14:sx="0" w14:sy="0" w14:kx="0" w14:ky="0" w14:algn="none">
            <w14:srgbClr w14:val="000000"/>
          </w14:shadow>
        </w:rPr>
        <w:t>.</w:t>
      </w:r>
      <w:r w:rsidR="006442B9">
        <w:rPr>
          <w:rFonts w:cs="Arial"/>
          <w:sz w:val="18"/>
          <w:szCs w:val="18"/>
          <w14:shadow w14:blurRad="0" w14:dist="0" w14:dir="0" w14:sx="0" w14:sy="0" w14:kx="0" w14:ky="0" w14:algn="none">
            <w14:srgbClr w14:val="000000"/>
          </w14:shadow>
        </w:rPr>
        <w:t xml:space="preserve"> No caso dos estudos da P</w:t>
      </w:r>
      <w:r w:rsidR="00FF0A40">
        <w:rPr>
          <w:rFonts w:cs="Arial"/>
          <w:sz w:val="18"/>
          <w:szCs w:val="18"/>
          <w14:shadow w14:blurRad="0" w14:dist="0" w14:dir="0" w14:sx="0" w14:sy="0" w14:kx="0" w14:ky="0" w14:algn="none">
            <w14:srgbClr w14:val="000000"/>
          </w14:shadow>
        </w:rPr>
        <w:t>E</w:t>
      </w:r>
      <w:r w:rsidR="006442B9">
        <w:rPr>
          <w:rFonts w:cs="Arial"/>
          <w:sz w:val="18"/>
          <w:szCs w:val="18"/>
          <w14:shadow w14:blurRad="0" w14:dist="0" w14:dir="0" w14:sx="0" w14:sy="0" w14:kx="0" w14:ky="0" w14:algn="none">
            <w14:srgbClr w14:val="000000"/>
          </w14:shadow>
        </w:rPr>
        <w:t xml:space="preserve">GEE uma delas está relacionada com a apresentação do parque gerador como uma usina equivalente. Sua avaliação de performance pode ser realizada a </w:t>
      </w:r>
      <w:r w:rsidR="009B46B2">
        <w:rPr>
          <w:rFonts w:cs="Arial"/>
          <w:sz w:val="18"/>
          <w:szCs w:val="18"/>
          <w14:shadow w14:blurRad="0" w14:dist="0" w14:dir="0" w14:sx="0" w14:sy="0" w14:kx="0" w14:ky="0" w14:algn="none">
            <w14:srgbClr w14:val="000000"/>
          </w14:shadow>
        </w:rPr>
        <w:t xml:space="preserve">partir </w:t>
      </w:r>
      <w:r w:rsidR="006442B9">
        <w:rPr>
          <w:rFonts w:cs="Arial"/>
          <w:sz w:val="18"/>
          <w:szCs w:val="18"/>
          <w14:shadow w14:blurRad="0" w14:dist="0" w14:dir="0" w14:sx="0" w14:sy="0" w14:kx="0" w14:ky="0" w14:algn="none">
            <w14:srgbClr w14:val="000000"/>
          </w14:shadow>
        </w:rPr>
        <w:t>de simulações da operação do sistema gerador</w:t>
      </w:r>
      <w:r w:rsidR="00D57B5A">
        <w:rPr>
          <w:rFonts w:cs="Arial"/>
          <w:sz w:val="18"/>
          <w:szCs w:val="18"/>
          <w14:shadow w14:blurRad="0" w14:dist="0" w14:dir="0" w14:sx="0" w14:sy="0" w14:kx="0" w14:ky="0" w14:algn="none">
            <w14:srgbClr w14:val="000000"/>
          </w14:shadow>
        </w:rPr>
        <w:t>,</w:t>
      </w:r>
      <w:r w:rsidR="006442B9">
        <w:rPr>
          <w:rFonts w:cs="Arial"/>
          <w:sz w:val="18"/>
          <w:szCs w:val="18"/>
          <w14:shadow w14:blurRad="0" w14:dist="0" w14:dir="0" w14:sx="0" w14:sy="0" w14:kx="0" w14:ky="0" w14:algn="none">
            <w14:srgbClr w14:val="000000"/>
          </w14:shadow>
        </w:rPr>
        <w:t xml:space="preserve"> durante um dado período</w:t>
      </w:r>
      <w:r w:rsidR="00D57B5A">
        <w:rPr>
          <w:rFonts w:cs="Arial"/>
          <w:sz w:val="18"/>
          <w:szCs w:val="18"/>
          <w14:shadow w14:blurRad="0" w14:dist="0" w14:dir="0" w14:sx="0" w14:sy="0" w14:kx="0" w14:ky="0" w14:algn="none">
            <w14:srgbClr w14:val="000000"/>
          </w14:shadow>
        </w:rPr>
        <w:t>,</w:t>
      </w:r>
      <w:r w:rsidR="006442B9">
        <w:rPr>
          <w:rFonts w:cs="Arial"/>
          <w:sz w:val="18"/>
          <w:szCs w:val="18"/>
          <w14:shadow w14:blurRad="0" w14:dist="0" w14:dir="0" w14:sx="0" w14:sy="0" w14:kx="0" w14:ky="0" w14:algn="none">
            <w14:srgbClr w14:val="000000"/>
          </w14:shadow>
        </w:rPr>
        <w:t xml:space="preserve"> por meio de regras de operação</w:t>
      </w:r>
      <w:r w:rsidR="009B46B2">
        <w:rPr>
          <w:rFonts w:cs="Arial"/>
          <w:sz w:val="18"/>
          <w:szCs w:val="18"/>
          <w14:shadow w14:blurRad="0" w14:dist="0" w14:dir="0" w14:sx="0" w14:sy="0" w14:kx="0" w14:ky="0" w14:algn="none">
            <w14:srgbClr w14:val="000000"/>
          </w14:shadow>
        </w:rPr>
        <w:t>. O método de simulação utilizado é o da energia natural. Segundo (8),</w:t>
      </w:r>
      <w:r w:rsidR="00763F27">
        <w:rPr>
          <w:rFonts w:cs="Arial"/>
          <w:sz w:val="18"/>
          <w:szCs w:val="18"/>
          <w14:shadow w14:blurRad="0" w14:dist="0" w14:dir="0" w14:sx="0" w14:sy="0" w14:kx="0" w14:ky="0" w14:algn="none">
            <w14:srgbClr w14:val="000000"/>
          </w14:shadow>
        </w:rPr>
        <w:t xml:space="preserve"> mesmo com uma abordagem simplista tal procedimento </w:t>
      </w:r>
      <w:r w:rsidR="00763F27">
        <w:rPr>
          <w:rFonts w:cs="Arial"/>
          <w:sz w:val="18"/>
          <w:szCs w:val="18"/>
          <w14:shadow w14:blurRad="0" w14:dist="0" w14:dir="0" w14:sx="0" w14:sy="0" w14:kx="0" w14:ky="0" w14:algn="none">
            <w14:srgbClr w14:val="000000"/>
          </w14:shadow>
        </w:rPr>
        <w:lastRenderedPageBreak/>
        <w:t>apresenta ótimos resultados globais principalmente no caso das UHES serem dotadas de boa regularização a montante ou desprovidas de regularização.</w:t>
      </w:r>
    </w:p>
    <w:p w:rsidR="00763F27" w:rsidRDefault="00763F27" w:rsidP="00763F27"/>
    <w:p w:rsidR="00125781" w:rsidRDefault="00763F27" w:rsidP="00D57B5A">
      <w:pPr>
        <w:spacing w:line="360" w:lineRule="auto"/>
        <w:jc w:val="both"/>
        <w:rPr>
          <w:rFonts w:ascii="Arial" w:hAnsi="Arial" w:cs="Arial"/>
          <w:sz w:val="18"/>
          <w:szCs w:val="18"/>
        </w:rPr>
      </w:pPr>
      <w:r w:rsidRPr="00D172EE">
        <w:rPr>
          <w:rFonts w:ascii="Arial" w:hAnsi="Arial" w:cs="Arial"/>
          <w:sz w:val="18"/>
          <w:szCs w:val="18"/>
        </w:rPr>
        <w:t>As componentes</w:t>
      </w:r>
      <w:r w:rsidR="00D172EE" w:rsidRPr="00D172EE">
        <w:rPr>
          <w:rFonts w:ascii="Arial" w:hAnsi="Arial" w:cs="Arial"/>
          <w:sz w:val="18"/>
          <w:szCs w:val="18"/>
        </w:rPr>
        <w:t xml:space="preserve"> vazão</w:t>
      </w:r>
      <w:r w:rsidR="00D172EE">
        <w:rPr>
          <w:rFonts w:ascii="Arial" w:hAnsi="Arial" w:cs="Arial"/>
          <w:sz w:val="18"/>
          <w:szCs w:val="18"/>
        </w:rPr>
        <w:t xml:space="preserve"> natural e capacidade de regularização dos reservatórios podem ser sob a forma de energia (8). A primeira componente pode ser convertida multiplicando a</w:t>
      </w:r>
      <w:r w:rsidR="00D57B5A">
        <w:rPr>
          <w:rFonts w:ascii="Arial" w:hAnsi="Arial" w:cs="Arial"/>
          <w:sz w:val="18"/>
          <w:szCs w:val="18"/>
        </w:rPr>
        <w:t>s vazões</w:t>
      </w:r>
      <w:r w:rsidR="00D172EE">
        <w:rPr>
          <w:rFonts w:ascii="Arial" w:hAnsi="Arial" w:cs="Arial"/>
          <w:sz w:val="18"/>
          <w:szCs w:val="18"/>
        </w:rPr>
        <w:t xml:space="preserve"> naturais dos rios pela queda líquida, pelo rendimento das máquinas e por uma constante. O somatório dessas energias de várias usinas gerará a energia ntural do sistema. Já a segunda, representada pelos volumes úteis dos reservatórios, </w:t>
      </w:r>
      <w:r w:rsidR="0002466E">
        <w:rPr>
          <w:rFonts w:ascii="Arial" w:hAnsi="Arial" w:cs="Arial"/>
          <w:sz w:val="18"/>
          <w:szCs w:val="18"/>
        </w:rPr>
        <w:t xml:space="preserve"> po</w:t>
      </w:r>
      <w:r w:rsidR="00D57B5A">
        <w:rPr>
          <w:rFonts w:ascii="Arial" w:hAnsi="Arial" w:cs="Arial"/>
          <w:sz w:val="18"/>
          <w:szCs w:val="18"/>
        </w:rPr>
        <w:t>de ser expressa em energia ao ca</w:t>
      </w:r>
      <w:r w:rsidR="0002466E">
        <w:rPr>
          <w:rFonts w:ascii="Arial" w:hAnsi="Arial" w:cs="Arial"/>
          <w:sz w:val="18"/>
          <w:szCs w:val="18"/>
        </w:rPr>
        <w:t>lcular a geração possível com a água armazenada através de todas as usinas a jusante. A soma da capacidade energética de todos os reservatórios irá constituir a energia armazenada do sistema o qual possibilita a regularização da energia natural. O autor em tela também alerta das hipóteses simplificadoras no uso do método, quais sejam:</w:t>
      </w:r>
    </w:p>
    <w:p w:rsidR="0002466E" w:rsidRDefault="0002466E" w:rsidP="0002466E">
      <w:pPr>
        <w:rPr>
          <w:rFonts w:ascii="Arial" w:hAnsi="Arial" w:cs="Arial"/>
          <w:sz w:val="18"/>
          <w:szCs w:val="18"/>
        </w:rPr>
      </w:pPr>
    </w:p>
    <w:p w:rsidR="0002466E" w:rsidRDefault="0002466E" w:rsidP="0002466E">
      <w:pPr>
        <w:rPr>
          <w:rFonts w:ascii="Arial" w:hAnsi="Arial" w:cs="Arial"/>
          <w:sz w:val="18"/>
          <w:szCs w:val="18"/>
        </w:rPr>
      </w:pPr>
      <w:r>
        <w:rPr>
          <w:rFonts w:ascii="Arial" w:hAnsi="Arial" w:cs="Arial"/>
          <w:sz w:val="18"/>
          <w:szCs w:val="18"/>
        </w:rPr>
        <w:t>i) Escolha de uma queda média para cada usina;</w:t>
      </w:r>
    </w:p>
    <w:p w:rsidR="0002466E" w:rsidRDefault="0002466E" w:rsidP="0002466E">
      <w:pPr>
        <w:rPr>
          <w:rFonts w:ascii="Arial" w:hAnsi="Arial" w:cs="Arial"/>
          <w:sz w:val="18"/>
          <w:szCs w:val="18"/>
        </w:rPr>
      </w:pPr>
    </w:p>
    <w:p w:rsidR="0002466E" w:rsidRDefault="0002466E" w:rsidP="0002466E">
      <w:pPr>
        <w:rPr>
          <w:rFonts w:ascii="Arial" w:hAnsi="Arial" w:cs="Arial"/>
          <w:sz w:val="18"/>
          <w:szCs w:val="18"/>
        </w:rPr>
      </w:pPr>
      <w:r>
        <w:rPr>
          <w:rFonts w:ascii="Arial" w:hAnsi="Arial" w:cs="Arial"/>
          <w:sz w:val="18"/>
          <w:szCs w:val="18"/>
        </w:rPr>
        <w:t>ii) Correção das vazõs naturais pela evaporação dos reservatórios;</w:t>
      </w:r>
    </w:p>
    <w:p w:rsidR="0002466E" w:rsidRDefault="0002466E" w:rsidP="0002466E">
      <w:pPr>
        <w:rPr>
          <w:rFonts w:ascii="Arial" w:hAnsi="Arial" w:cs="Arial"/>
          <w:sz w:val="18"/>
          <w:szCs w:val="18"/>
        </w:rPr>
      </w:pPr>
    </w:p>
    <w:p w:rsidR="0002466E" w:rsidRDefault="0002466E" w:rsidP="0002466E">
      <w:pPr>
        <w:rPr>
          <w:rFonts w:ascii="Arial" w:hAnsi="Arial" w:cs="Arial"/>
          <w:sz w:val="18"/>
          <w:szCs w:val="18"/>
        </w:rPr>
      </w:pPr>
      <w:r>
        <w:rPr>
          <w:rFonts w:ascii="Arial" w:hAnsi="Arial" w:cs="Arial"/>
          <w:sz w:val="18"/>
          <w:szCs w:val="18"/>
        </w:rPr>
        <w:t>iii) Toda energia natural e armazenada pode ser utilizada</w:t>
      </w:r>
      <w:r w:rsidR="00701DA7">
        <w:rPr>
          <w:rFonts w:ascii="Arial" w:hAnsi="Arial" w:cs="Arial"/>
          <w:sz w:val="18"/>
          <w:szCs w:val="18"/>
        </w:rPr>
        <w:t>;</w:t>
      </w:r>
    </w:p>
    <w:p w:rsidR="00701DA7" w:rsidRDefault="00701DA7" w:rsidP="0002466E">
      <w:pPr>
        <w:rPr>
          <w:rFonts w:ascii="Arial" w:hAnsi="Arial" w:cs="Arial"/>
          <w:sz w:val="18"/>
          <w:szCs w:val="18"/>
        </w:rPr>
      </w:pPr>
    </w:p>
    <w:p w:rsidR="00701DA7" w:rsidRDefault="00701DA7" w:rsidP="0002466E">
      <w:pPr>
        <w:rPr>
          <w:rFonts w:ascii="Arial" w:hAnsi="Arial" w:cs="Arial"/>
          <w:sz w:val="18"/>
          <w:szCs w:val="18"/>
        </w:rPr>
      </w:pPr>
      <w:r>
        <w:rPr>
          <w:rFonts w:ascii="Arial" w:hAnsi="Arial" w:cs="Arial"/>
          <w:sz w:val="18"/>
          <w:szCs w:val="18"/>
        </w:rPr>
        <w:t>iv) O sistema é suficientemente flexível para utilizar de alguma forma disponível na geração de energia.</w:t>
      </w:r>
    </w:p>
    <w:p w:rsidR="00701DA7" w:rsidRPr="00D172EE" w:rsidRDefault="00701DA7" w:rsidP="0002466E">
      <w:pPr>
        <w:rPr>
          <w:rFonts w:ascii="Arial" w:hAnsi="Arial" w:cs="Arial"/>
          <w:sz w:val="18"/>
          <w:szCs w:val="18"/>
        </w:rPr>
      </w:pPr>
    </w:p>
    <w:p w:rsidR="00701DA7" w:rsidRDefault="004F463B" w:rsidP="00D57B5A">
      <w:pPr>
        <w:pStyle w:val="Ttulo3"/>
        <w:spacing w:line="360" w:lineRule="auto"/>
        <w:jc w:val="both"/>
        <w:rPr>
          <w:rFonts w:cs="Arial"/>
          <w:sz w:val="18"/>
          <w:szCs w:val="18"/>
          <w14:shadow w14:blurRad="0" w14:dist="0" w14:dir="0" w14:sx="0" w14:sy="0" w14:kx="0" w14:ky="0" w14:algn="none">
            <w14:srgbClr w14:val="000000"/>
          </w14:shadow>
        </w:rPr>
      </w:pPr>
      <w:r>
        <w:rPr>
          <w:rFonts w:cs="Arial"/>
          <w:sz w:val="18"/>
          <w:szCs w:val="18"/>
          <w14:shadow w14:blurRad="0" w14:dist="0" w14:dir="0" w14:sx="0" w14:sy="0" w14:kx="0" w14:ky="0" w14:algn="none">
            <w14:srgbClr w14:val="000000"/>
          </w14:shadow>
        </w:rPr>
        <w:t xml:space="preserve">A tabela 1 </w:t>
      </w:r>
      <w:r w:rsidR="00634648">
        <w:rPr>
          <w:rFonts w:cs="Arial"/>
          <w:sz w:val="18"/>
          <w:szCs w:val="18"/>
          <w14:shadow w14:blurRad="0" w14:dist="0" w14:dir="0" w14:sx="0" w14:sy="0" w14:kx="0" w14:ky="0" w14:algn="none">
            <w14:srgbClr w14:val="000000"/>
          </w14:shadow>
        </w:rPr>
        <w:t>reproduz um</w:t>
      </w:r>
      <w:r>
        <w:rPr>
          <w:rFonts w:cs="Arial"/>
          <w:sz w:val="18"/>
          <w:szCs w:val="18"/>
          <w14:shadow w14:blurRad="0" w14:dist="0" w14:dir="0" w14:sx="0" w14:sy="0" w14:kx="0" w14:ky="0" w14:algn="none">
            <w14:srgbClr w14:val="000000"/>
          </w14:shadow>
        </w:rPr>
        <w:t xml:space="preserve"> estudo do ano de 1980</w:t>
      </w:r>
      <w:r w:rsidR="00701DA7">
        <w:rPr>
          <w:rFonts w:cs="Arial"/>
          <w:sz w:val="18"/>
          <w:szCs w:val="18"/>
          <w14:shadow w14:blurRad="0" w14:dist="0" w14:dir="0" w14:sx="0" w14:sy="0" w14:kx="0" w14:ky="0" w14:algn="none">
            <w14:srgbClr w14:val="000000"/>
          </w14:shadow>
        </w:rPr>
        <w:t xml:space="preserve"> com cinco configurações est</w:t>
      </w:r>
      <w:r w:rsidR="00634648">
        <w:rPr>
          <w:rFonts w:cs="Arial"/>
          <w:sz w:val="18"/>
          <w:szCs w:val="18"/>
          <w14:shadow w14:blurRad="0" w14:dist="0" w14:dir="0" w14:sx="0" w14:sy="0" w14:kx="0" w14:ky="0" w14:algn="none">
            <w14:srgbClr w14:val="000000"/>
          </w14:shadow>
        </w:rPr>
        <w:t>áticas. Estas são representadas sem ou com a interligação entre os subsistemas Sul e Sudeste-Centro Oeste.</w:t>
      </w:r>
    </w:p>
    <w:p w:rsidR="00634648" w:rsidRDefault="00634648" w:rsidP="00634648">
      <w:pPr>
        <w:rPr>
          <w:sz w:val="18"/>
          <w:szCs w:val="18"/>
        </w:rPr>
      </w:pPr>
    </w:p>
    <w:p w:rsidR="00634648" w:rsidRPr="00634648" w:rsidRDefault="00634648" w:rsidP="009971A3">
      <w:pPr>
        <w:jc w:val="center"/>
        <w:rPr>
          <w:rFonts w:ascii="Arial" w:hAnsi="Arial" w:cs="Arial"/>
          <w:sz w:val="16"/>
          <w:szCs w:val="16"/>
        </w:rPr>
      </w:pPr>
      <w:r w:rsidRPr="00634648">
        <w:rPr>
          <w:rFonts w:ascii="Arial" w:hAnsi="Arial" w:cs="Arial"/>
          <w:sz w:val="16"/>
          <w:szCs w:val="16"/>
        </w:rPr>
        <w:t>Tabela 1</w:t>
      </w:r>
    </w:p>
    <w:p w:rsidR="00634648" w:rsidRPr="00634648" w:rsidRDefault="00A806F9" w:rsidP="009971A3">
      <w:pPr>
        <w:jc w:val="center"/>
        <w:rPr>
          <w:rFonts w:ascii="Arial" w:hAnsi="Arial" w:cs="Arial"/>
          <w:sz w:val="16"/>
          <w:szCs w:val="16"/>
        </w:rPr>
      </w:pPr>
      <w:r>
        <w:rPr>
          <w:rFonts w:ascii="Arial" w:hAnsi="Arial" w:cs="Arial"/>
          <w:sz w:val="16"/>
          <w:szCs w:val="16"/>
        </w:rPr>
        <w:t>Evolução das Caracterís</w:t>
      </w:r>
      <w:r w:rsidR="00634648" w:rsidRPr="00634648">
        <w:rPr>
          <w:rFonts w:ascii="Arial" w:hAnsi="Arial" w:cs="Arial"/>
          <w:sz w:val="16"/>
          <w:szCs w:val="16"/>
        </w:rPr>
        <w:t>t</w:t>
      </w:r>
      <w:r>
        <w:rPr>
          <w:rFonts w:ascii="Arial" w:hAnsi="Arial" w:cs="Arial"/>
          <w:sz w:val="16"/>
          <w:szCs w:val="16"/>
        </w:rPr>
        <w:t>i</w:t>
      </w:r>
      <w:r w:rsidR="00634648" w:rsidRPr="00634648">
        <w:rPr>
          <w:rFonts w:ascii="Arial" w:hAnsi="Arial" w:cs="Arial"/>
          <w:sz w:val="16"/>
          <w:szCs w:val="16"/>
        </w:rPr>
        <w:t>cas do Sistema</w:t>
      </w:r>
    </w:p>
    <w:p w:rsidR="00634648" w:rsidRPr="00634648" w:rsidRDefault="00634648" w:rsidP="009971A3">
      <w:pPr>
        <w:jc w:val="center"/>
        <w:rPr>
          <w:rFonts w:ascii="Arial" w:hAnsi="Arial" w:cs="Arial"/>
          <w:sz w:val="16"/>
          <w:szCs w:val="16"/>
        </w:rPr>
      </w:pPr>
      <w:r w:rsidRPr="00634648">
        <w:rPr>
          <w:rFonts w:ascii="Arial" w:hAnsi="Arial" w:cs="Arial"/>
          <w:sz w:val="16"/>
          <w:szCs w:val="16"/>
        </w:rPr>
        <w:t>Regiões Sudeste, Centro-Oeste e Sul</w:t>
      </w:r>
    </w:p>
    <w:tbl>
      <w:tblPr>
        <w:tblStyle w:val="Tabelacomgrade"/>
        <w:tblW w:w="0" w:type="auto"/>
        <w:tblLook w:val="04A0" w:firstRow="1" w:lastRow="0" w:firstColumn="1" w:lastColumn="0" w:noHBand="0" w:noVBand="1"/>
      </w:tblPr>
      <w:tblGrid>
        <w:gridCol w:w="2410"/>
        <w:gridCol w:w="709"/>
        <w:gridCol w:w="709"/>
        <w:gridCol w:w="992"/>
        <w:gridCol w:w="992"/>
        <w:gridCol w:w="851"/>
        <w:gridCol w:w="992"/>
      </w:tblGrid>
      <w:tr w:rsidR="004E3E12" w:rsidRPr="00634648" w:rsidTr="00132E6E">
        <w:tc>
          <w:tcPr>
            <w:tcW w:w="2410" w:type="dxa"/>
            <w:tcBorders>
              <w:top w:val="nil"/>
              <w:left w:val="nil"/>
              <w:bottom w:val="single" w:sz="4" w:space="0" w:color="auto"/>
              <w:right w:val="single" w:sz="4" w:space="0" w:color="auto"/>
            </w:tcBorders>
          </w:tcPr>
          <w:p w:rsidR="00634648" w:rsidRPr="00634648" w:rsidRDefault="00634648" w:rsidP="009971A3">
            <w:pPr>
              <w:jc w:val="center"/>
              <w:rPr>
                <w:rFonts w:ascii="Arial" w:hAnsi="Arial" w:cs="Arial"/>
                <w:sz w:val="16"/>
                <w:szCs w:val="16"/>
              </w:rPr>
            </w:pPr>
          </w:p>
        </w:tc>
        <w:tc>
          <w:tcPr>
            <w:tcW w:w="709" w:type="dxa"/>
            <w:tcBorders>
              <w:left w:val="single" w:sz="4" w:space="0" w:color="auto"/>
            </w:tcBorders>
          </w:tcPr>
          <w:p w:rsidR="00634648" w:rsidRPr="00634648" w:rsidRDefault="00634648" w:rsidP="009971A3">
            <w:pPr>
              <w:jc w:val="center"/>
              <w:rPr>
                <w:rFonts w:ascii="Arial" w:hAnsi="Arial" w:cs="Arial"/>
                <w:sz w:val="16"/>
                <w:szCs w:val="16"/>
              </w:rPr>
            </w:pPr>
            <w:r w:rsidRPr="00634648">
              <w:rPr>
                <w:rFonts w:ascii="Arial" w:hAnsi="Arial" w:cs="Arial"/>
                <w:sz w:val="16"/>
                <w:szCs w:val="16"/>
              </w:rPr>
              <w:t>Sul-80</w:t>
            </w:r>
          </w:p>
        </w:tc>
        <w:tc>
          <w:tcPr>
            <w:tcW w:w="709" w:type="dxa"/>
          </w:tcPr>
          <w:p w:rsidR="00634648" w:rsidRPr="00634648" w:rsidRDefault="00634648" w:rsidP="009971A3">
            <w:pPr>
              <w:jc w:val="center"/>
              <w:rPr>
                <w:rFonts w:ascii="Arial" w:hAnsi="Arial" w:cs="Arial"/>
                <w:sz w:val="16"/>
                <w:szCs w:val="16"/>
              </w:rPr>
            </w:pPr>
            <w:r w:rsidRPr="00634648">
              <w:rPr>
                <w:rFonts w:ascii="Arial" w:hAnsi="Arial" w:cs="Arial"/>
                <w:sz w:val="16"/>
                <w:szCs w:val="16"/>
              </w:rPr>
              <w:t>SE-80</w:t>
            </w:r>
          </w:p>
        </w:tc>
        <w:tc>
          <w:tcPr>
            <w:tcW w:w="992" w:type="dxa"/>
          </w:tcPr>
          <w:p w:rsidR="00634648" w:rsidRPr="00634648" w:rsidRDefault="00634648" w:rsidP="009971A3">
            <w:pPr>
              <w:jc w:val="center"/>
              <w:rPr>
                <w:rFonts w:ascii="Arial" w:hAnsi="Arial" w:cs="Arial"/>
                <w:sz w:val="16"/>
                <w:szCs w:val="16"/>
              </w:rPr>
            </w:pPr>
            <w:r w:rsidRPr="00634648">
              <w:rPr>
                <w:rFonts w:ascii="Arial" w:hAnsi="Arial" w:cs="Arial"/>
                <w:sz w:val="16"/>
                <w:szCs w:val="16"/>
              </w:rPr>
              <w:t>SES-82</w:t>
            </w:r>
          </w:p>
        </w:tc>
        <w:tc>
          <w:tcPr>
            <w:tcW w:w="992" w:type="dxa"/>
          </w:tcPr>
          <w:p w:rsidR="00634648" w:rsidRPr="00634648" w:rsidRDefault="00634648" w:rsidP="009971A3">
            <w:pPr>
              <w:jc w:val="center"/>
              <w:rPr>
                <w:rFonts w:ascii="Arial" w:hAnsi="Arial" w:cs="Arial"/>
                <w:sz w:val="16"/>
                <w:szCs w:val="16"/>
              </w:rPr>
            </w:pPr>
            <w:r w:rsidRPr="00634648">
              <w:rPr>
                <w:rFonts w:ascii="Arial" w:hAnsi="Arial" w:cs="Arial"/>
                <w:sz w:val="16"/>
                <w:szCs w:val="16"/>
              </w:rPr>
              <w:t>SES-86</w:t>
            </w:r>
          </w:p>
        </w:tc>
        <w:tc>
          <w:tcPr>
            <w:tcW w:w="851" w:type="dxa"/>
          </w:tcPr>
          <w:p w:rsidR="00634648" w:rsidRPr="00634648" w:rsidRDefault="00634648" w:rsidP="009971A3">
            <w:pPr>
              <w:jc w:val="center"/>
              <w:rPr>
                <w:rFonts w:ascii="Arial" w:hAnsi="Arial" w:cs="Arial"/>
                <w:sz w:val="16"/>
                <w:szCs w:val="16"/>
              </w:rPr>
            </w:pPr>
            <w:r w:rsidRPr="00634648">
              <w:rPr>
                <w:rFonts w:ascii="Arial" w:hAnsi="Arial" w:cs="Arial"/>
                <w:sz w:val="16"/>
                <w:szCs w:val="16"/>
              </w:rPr>
              <w:t>SES-90</w:t>
            </w:r>
          </w:p>
        </w:tc>
        <w:tc>
          <w:tcPr>
            <w:tcW w:w="992" w:type="dxa"/>
          </w:tcPr>
          <w:p w:rsidR="00634648" w:rsidRPr="00634648" w:rsidRDefault="00634648" w:rsidP="009971A3">
            <w:pPr>
              <w:jc w:val="center"/>
              <w:rPr>
                <w:rFonts w:ascii="Arial" w:hAnsi="Arial" w:cs="Arial"/>
                <w:sz w:val="16"/>
                <w:szCs w:val="16"/>
              </w:rPr>
            </w:pPr>
            <w:r w:rsidRPr="00634648">
              <w:rPr>
                <w:rFonts w:ascii="Arial" w:hAnsi="Arial" w:cs="Arial"/>
                <w:sz w:val="16"/>
                <w:szCs w:val="16"/>
              </w:rPr>
              <w:t>SES-95</w:t>
            </w:r>
          </w:p>
        </w:tc>
      </w:tr>
      <w:tr w:rsidR="004E3E12" w:rsidRPr="00634648" w:rsidTr="00132E6E">
        <w:tc>
          <w:tcPr>
            <w:tcW w:w="2410" w:type="dxa"/>
            <w:tcBorders>
              <w:top w:val="single" w:sz="4" w:space="0" w:color="auto"/>
            </w:tcBorders>
          </w:tcPr>
          <w:p w:rsidR="00634648" w:rsidRPr="00634648" w:rsidRDefault="004E3E12" w:rsidP="009971A3">
            <w:pPr>
              <w:jc w:val="center"/>
              <w:rPr>
                <w:rFonts w:ascii="Arial" w:hAnsi="Arial" w:cs="Arial"/>
                <w:sz w:val="16"/>
                <w:szCs w:val="16"/>
              </w:rPr>
            </w:pPr>
            <w:r>
              <w:rPr>
                <w:rFonts w:ascii="Arial" w:hAnsi="Arial" w:cs="Arial"/>
                <w:sz w:val="16"/>
                <w:szCs w:val="16"/>
              </w:rPr>
              <w:t>E.Firme Hidraulica (MWa)</w:t>
            </w:r>
          </w:p>
        </w:tc>
        <w:tc>
          <w:tcPr>
            <w:tcW w:w="709" w:type="dxa"/>
          </w:tcPr>
          <w:p w:rsidR="00634648" w:rsidRPr="00634648" w:rsidRDefault="004E3E12" w:rsidP="009971A3">
            <w:pPr>
              <w:jc w:val="center"/>
              <w:rPr>
                <w:rFonts w:ascii="Arial" w:hAnsi="Arial" w:cs="Arial"/>
                <w:sz w:val="16"/>
                <w:szCs w:val="16"/>
              </w:rPr>
            </w:pPr>
            <w:r>
              <w:rPr>
                <w:rFonts w:ascii="Arial" w:hAnsi="Arial" w:cs="Arial"/>
                <w:sz w:val="16"/>
                <w:szCs w:val="16"/>
              </w:rPr>
              <w:t>598</w:t>
            </w:r>
          </w:p>
        </w:tc>
        <w:tc>
          <w:tcPr>
            <w:tcW w:w="709" w:type="dxa"/>
          </w:tcPr>
          <w:p w:rsidR="00634648" w:rsidRPr="00634648" w:rsidRDefault="004E3E12" w:rsidP="009971A3">
            <w:pPr>
              <w:jc w:val="center"/>
              <w:rPr>
                <w:rFonts w:ascii="Arial" w:hAnsi="Arial" w:cs="Arial"/>
                <w:sz w:val="16"/>
                <w:szCs w:val="16"/>
              </w:rPr>
            </w:pPr>
            <w:r>
              <w:rPr>
                <w:rFonts w:ascii="Arial" w:hAnsi="Arial" w:cs="Arial"/>
                <w:sz w:val="16"/>
                <w:szCs w:val="16"/>
              </w:rPr>
              <w:t>8.774</w:t>
            </w:r>
          </w:p>
        </w:tc>
        <w:tc>
          <w:tcPr>
            <w:tcW w:w="992" w:type="dxa"/>
          </w:tcPr>
          <w:p w:rsidR="00634648" w:rsidRPr="00634648" w:rsidRDefault="004E3E12" w:rsidP="009971A3">
            <w:pPr>
              <w:jc w:val="center"/>
              <w:rPr>
                <w:rFonts w:ascii="Arial" w:hAnsi="Arial" w:cs="Arial"/>
                <w:sz w:val="16"/>
                <w:szCs w:val="16"/>
              </w:rPr>
            </w:pPr>
            <w:r>
              <w:rPr>
                <w:rFonts w:ascii="Arial" w:hAnsi="Arial" w:cs="Arial"/>
                <w:sz w:val="16"/>
                <w:szCs w:val="16"/>
              </w:rPr>
              <w:t>12.856</w:t>
            </w:r>
          </w:p>
        </w:tc>
        <w:tc>
          <w:tcPr>
            <w:tcW w:w="992" w:type="dxa"/>
          </w:tcPr>
          <w:p w:rsidR="00634648" w:rsidRPr="00634648" w:rsidRDefault="004E3E12" w:rsidP="009971A3">
            <w:pPr>
              <w:jc w:val="center"/>
              <w:rPr>
                <w:rFonts w:ascii="Arial" w:hAnsi="Arial" w:cs="Arial"/>
                <w:sz w:val="16"/>
                <w:szCs w:val="16"/>
              </w:rPr>
            </w:pPr>
            <w:r>
              <w:rPr>
                <w:rFonts w:ascii="Arial" w:hAnsi="Arial" w:cs="Arial"/>
                <w:sz w:val="16"/>
                <w:szCs w:val="16"/>
              </w:rPr>
              <w:t>22.960</w:t>
            </w:r>
          </w:p>
        </w:tc>
        <w:tc>
          <w:tcPr>
            <w:tcW w:w="851" w:type="dxa"/>
          </w:tcPr>
          <w:p w:rsidR="00634648" w:rsidRPr="00634648" w:rsidRDefault="004E3E12" w:rsidP="009971A3">
            <w:pPr>
              <w:jc w:val="center"/>
              <w:rPr>
                <w:rFonts w:ascii="Arial" w:hAnsi="Arial" w:cs="Arial"/>
                <w:sz w:val="16"/>
                <w:szCs w:val="16"/>
              </w:rPr>
            </w:pPr>
            <w:r>
              <w:rPr>
                <w:rFonts w:ascii="Arial" w:hAnsi="Arial" w:cs="Arial"/>
                <w:sz w:val="16"/>
                <w:szCs w:val="16"/>
              </w:rPr>
              <w:t>28.625</w:t>
            </w:r>
          </w:p>
        </w:tc>
        <w:tc>
          <w:tcPr>
            <w:tcW w:w="992" w:type="dxa"/>
          </w:tcPr>
          <w:p w:rsidR="00634648" w:rsidRPr="00634648" w:rsidRDefault="004E3E12" w:rsidP="009971A3">
            <w:pPr>
              <w:jc w:val="center"/>
              <w:rPr>
                <w:rFonts w:ascii="Arial" w:hAnsi="Arial" w:cs="Arial"/>
                <w:sz w:val="16"/>
                <w:szCs w:val="16"/>
              </w:rPr>
            </w:pPr>
            <w:r>
              <w:rPr>
                <w:rFonts w:ascii="Arial" w:hAnsi="Arial" w:cs="Arial"/>
                <w:sz w:val="16"/>
                <w:szCs w:val="16"/>
              </w:rPr>
              <w:t>35.188</w:t>
            </w:r>
          </w:p>
        </w:tc>
      </w:tr>
      <w:tr w:rsidR="004E3E12" w:rsidRPr="00634648" w:rsidTr="00132E6E">
        <w:tc>
          <w:tcPr>
            <w:tcW w:w="2410" w:type="dxa"/>
          </w:tcPr>
          <w:p w:rsidR="004E3E12" w:rsidRPr="00634648" w:rsidRDefault="004E3E12" w:rsidP="009971A3">
            <w:pPr>
              <w:jc w:val="center"/>
              <w:rPr>
                <w:rFonts w:ascii="Arial" w:hAnsi="Arial" w:cs="Arial"/>
                <w:sz w:val="16"/>
                <w:szCs w:val="16"/>
              </w:rPr>
            </w:pPr>
            <w:r>
              <w:rPr>
                <w:rFonts w:ascii="Arial" w:hAnsi="Arial" w:cs="Arial"/>
                <w:sz w:val="16"/>
                <w:szCs w:val="16"/>
              </w:rPr>
              <w:t>E.Firme Hidro-Térmica(MWa)</w:t>
            </w:r>
          </w:p>
        </w:tc>
        <w:tc>
          <w:tcPr>
            <w:tcW w:w="709" w:type="dxa"/>
          </w:tcPr>
          <w:p w:rsidR="004E3E12" w:rsidRPr="00634648" w:rsidRDefault="004E3E12" w:rsidP="009971A3">
            <w:pPr>
              <w:jc w:val="center"/>
              <w:rPr>
                <w:rFonts w:ascii="Arial" w:hAnsi="Arial" w:cs="Arial"/>
                <w:sz w:val="16"/>
                <w:szCs w:val="16"/>
              </w:rPr>
            </w:pPr>
            <w:r>
              <w:rPr>
                <w:rFonts w:ascii="Arial" w:hAnsi="Arial" w:cs="Arial"/>
                <w:sz w:val="16"/>
                <w:szCs w:val="16"/>
              </w:rPr>
              <w:t>1.111</w:t>
            </w:r>
          </w:p>
        </w:tc>
        <w:tc>
          <w:tcPr>
            <w:tcW w:w="709" w:type="dxa"/>
          </w:tcPr>
          <w:p w:rsidR="004E3E12" w:rsidRPr="00634648" w:rsidRDefault="00394A1B" w:rsidP="009971A3">
            <w:pPr>
              <w:jc w:val="center"/>
              <w:rPr>
                <w:rFonts w:ascii="Arial" w:hAnsi="Arial" w:cs="Arial"/>
                <w:sz w:val="16"/>
                <w:szCs w:val="16"/>
              </w:rPr>
            </w:pPr>
            <w:r>
              <w:rPr>
                <w:rFonts w:ascii="Arial" w:hAnsi="Arial" w:cs="Arial"/>
                <w:sz w:val="16"/>
                <w:szCs w:val="16"/>
              </w:rPr>
              <w:t>9.</w:t>
            </w:r>
            <w:r w:rsidR="004E3E12">
              <w:rPr>
                <w:rFonts w:ascii="Arial" w:hAnsi="Arial" w:cs="Arial"/>
                <w:sz w:val="16"/>
                <w:szCs w:val="16"/>
              </w:rPr>
              <w:t>404</w:t>
            </w:r>
          </w:p>
        </w:tc>
        <w:tc>
          <w:tcPr>
            <w:tcW w:w="992" w:type="dxa"/>
          </w:tcPr>
          <w:p w:rsidR="004E3E12" w:rsidRPr="00634648" w:rsidRDefault="004E3E12" w:rsidP="009971A3">
            <w:pPr>
              <w:jc w:val="center"/>
              <w:rPr>
                <w:rFonts w:ascii="Arial" w:hAnsi="Arial" w:cs="Arial"/>
                <w:sz w:val="16"/>
                <w:szCs w:val="16"/>
              </w:rPr>
            </w:pPr>
            <w:r>
              <w:rPr>
                <w:rFonts w:ascii="Arial" w:hAnsi="Arial" w:cs="Arial"/>
                <w:sz w:val="16"/>
                <w:szCs w:val="16"/>
              </w:rPr>
              <w:t>14.381</w:t>
            </w:r>
          </w:p>
        </w:tc>
        <w:tc>
          <w:tcPr>
            <w:tcW w:w="992" w:type="dxa"/>
          </w:tcPr>
          <w:p w:rsidR="004E3E12" w:rsidRPr="00634648" w:rsidRDefault="004E3E12" w:rsidP="009971A3">
            <w:pPr>
              <w:jc w:val="center"/>
              <w:rPr>
                <w:rFonts w:ascii="Arial" w:hAnsi="Arial" w:cs="Arial"/>
                <w:sz w:val="16"/>
                <w:szCs w:val="16"/>
              </w:rPr>
            </w:pPr>
            <w:r>
              <w:rPr>
                <w:rFonts w:ascii="Arial" w:hAnsi="Arial" w:cs="Arial"/>
                <w:sz w:val="16"/>
                <w:szCs w:val="16"/>
              </w:rPr>
              <w:t>24.027</w:t>
            </w:r>
          </w:p>
        </w:tc>
        <w:tc>
          <w:tcPr>
            <w:tcW w:w="851" w:type="dxa"/>
          </w:tcPr>
          <w:p w:rsidR="004E3E12" w:rsidRPr="00634648" w:rsidRDefault="004E3E12" w:rsidP="009971A3">
            <w:pPr>
              <w:jc w:val="center"/>
              <w:rPr>
                <w:rFonts w:ascii="Arial" w:hAnsi="Arial" w:cs="Arial"/>
                <w:sz w:val="16"/>
                <w:szCs w:val="16"/>
              </w:rPr>
            </w:pPr>
            <w:r>
              <w:rPr>
                <w:rFonts w:ascii="Arial" w:hAnsi="Arial" w:cs="Arial"/>
                <w:sz w:val="16"/>
                <w:szCs w:val="16"/>
              </w:rPr>
              <w:t>31.369</w:t>
            </w:r>
          </w:p>
        </w:tc>
        <w:tc>
          <w:tcPr>
            <w:tcW w:w="992" w:type="dxa"/>
          </w:tcPr>
          <w:p w:rsidR="004E3E12" w:rsidRPr="00634648" w:rsidRDefault="004E3E12" w:rsidP="009971A3">
            <w:pPr>
              <w:jc w:val="center"/>
              <w:rPr>
                <w:rFonts w:ascii="Arial" w:hAnsi="Arial" w:cs="Arial"/>
                <w:sz w:val="16"/>
                <w:szCs w:val="16"/>
              </w:rPr>
            </w:pPr>
            <w:r>
              <w:rPr>
                <w:rFonts w:ascii="Arial" w:hAnsi="Arial" w:cs="Arial"/>
                <w:sz w:val="16"/>
                <w:szCs w:val="16"/>
              </w:rPr>
              <w:t>39.109</w:t>
            </w:r>
          </w:p>
        </w:tc>
      </w:tr>
      <w:tr w:rsidR="004E3E12" w:rsidRPr="00634648" w:rsidTr="00132E6E">
        <w:tc>
          <w:tcPr>
            <w:tcW w:w="2410" w:type="dxa"/>
          </w:tcPr>
          <w:p w:rsidR="004E3E12" w:rsidRPr="00634648" w:rsidRDefault="004E3E12" w:rsidP="009971A3">
            <w:pPr>
              <w:jc w:val="center"/>
              <w:rPr>
                <w:rFonts w:ascii="Arial" w:hAnsi="Arial" w:cs="Arial"/>
                <w:sz w:val="16"/>
                <w:szCs w:val="16"/>
              </w:rPr>
            </w:pPr>
            <w:r>
              <w:rPr>
                <w:rFonts w:ascii="Arial" w:hAnsi="Arial" w:cs="Arial"/>
                <w:sz w:val="16"/>
                <w:szCs w:val="16"/>
              </w:rPr>
              <w:t>ESH/EFH (%)</w:t>
            </w:r>
          </w:p>
        </w:tc>
        <w:tc>
          <w:tcPr>
            <w:tcW w:w="709" w:type="dxa"/>
          </w:tcPr>
          <w:p w:rsidR="004E3E12" w:rsidRPr="00634648" w:rsidRDefault="004E3E12" w:rsidP="009971A3">
            <w:pPr>
              <w:jc w:val="center"/>
              <w:rPr>
                <w:rFonts w:ascii="Arial" w:hAnsi="Arial" w:cs="Arial"/>
                <w:sz w:val="16"/>
                <w:szCs w:val="16"/>
              </w:rPr>
            </w:pPr>
            <w:r>
              <w:rPr>
                <w:rFonts w:ascii="Arial" w:hAnsi="Arial" w:cs="Arial"/>
                <w:sz w:val="16"/>
                <w:szCs w:val="16"/>
              </w:rPr>
              <w:t>77</w:t>
            </w:r>
          </w:p>
        </w:tc>
        <w:tc>
          <w:tcPr>
            <w:tcW w:w="709" w:type="dxa"/>
          </w:tcPr>
          <w:p w:rsidR="004E3E12" w:rsidRPr="00634648" w:rsidRDefault="004E3E12" w:rsidP="009971A3">
            <w:pPr>
              <w:jc w:val="center"/>
              <w:rPr>
                <w:rFonts w:ascii="Arial" w:hAnsi="Arial" w:cs="Arial"/>
                <w:sz w:val="16"/>
                <w:szCs w:val="16"/>
              </w:rPr>
            </w:pPr>
            <w:r>
              <w:rPr>
                <w:rFonts w:ascii="Arial" w:hAnsi="Arial" w:cs="Arial"/>
                <w:sz w:val="16"/>
                <w:szCs w:val="16"/>
              </w:rPr>
              <w:t>22</w:t>
            </w:r>
          </w:p>
        </w:tc>
        <w:tc>
          <w:tcPr>
            <w:tcW w:w="992" w:type="dxa"/>
          </w:tcPr>
          <w:p w:rsidR="004E3E12" w:rsidRPr="00634648" w:rsidRDefault="004E3E12" w:rsidP="009971A3">
            <w:pPr>
              <w:jc w:val="center"/>
              <w:rPr>
                <w:rFonts w:ascii="Arial" w:hAnsi="Arial" w:cs="Arial"/>
                <w:sz w:val="16"/>
                <w:szCs w:val="16"/>
              </w:rPr>
            </w:pPr>
            <w:r>
              <w:rPr>
                <w:rFonts w:ascii="Arial" w:hAnsi="Arial" w:cs="Arial"/>
                <w:sz w:val="16"/>
                <w:szCs w:val="16"/>
              </w:rPr>
              <w:t>17</w:t>
            </w:r>
          </w:p>
        </w:tc>
        <w:tc>
          <w:tcPr>
            <w:tcW w:w="992" w:type="dxa"/>
          </w:tcPr>
          <w:p w:rsidR="004E3E12" w:rsidRPr="00634648" w:rsidRDefault="004E3E12" w:rsidP="009971A3">
            <w:pPr>
              <w:jc w:val="center"/>
              <w:rPr>
                <w:rFonts w:ascii="Arial" w:hAnsi="Arial" w:cs="Arial"/>
                <w:sz w:val="16"/>
                <w:szCs w:val="16"/>
              </w:rPr>
            </w:pPr>
            <w:r>
              <w:rPr>
                <w:rFonts w:ascii="Arial" w:hAnsi="Arial" w:cs="Arial"/>
                <w:sz w:val="16"/>
                <w:szCs w:val="16"/>
              </w:rPr>
              <w:t>14</w:t>
            </w:r>
          </w:p>
        </w:tc>
        <w:tc>
          <w:tcPr>
            <w:tcW w:w="851" w:type="dxa"/>
          </w:tcPr>
          <w:p w:rsidR="004E3E12" w:rsidRPr="00634648" w:rsidRDefault="004E3E12" w:rsidP="009971A3">
            <w:pPr>
              <w:jc w:val="center"/>
              <w:rPr>
                <w:rFonts w:ascii="Arial" w:hAnsi="Arial" w:cs="Arial"/>
                <w:sz w:val="16"/>
                <w:szCs w:val="16"/>
              </w:rPr>
            </w:pPr>
            <w:r>
              <w:rPr>
                <w:rFonts w:ascii="Arial" w:hAnsi="Arial" w:cs="Arial"/>
                <w:sz w:val="16"/>
                <w:szCs w:val="16"/>
              </w:rPr>
              <w:t>13</w:t>
            </w:r>
          </w:p>
        </w:tc>
        <w:tc>
          <w:tcPr>
            <w:tcW w:w="992" w:type="dxa"/>
          </w:tcPr>
          <w:p w:rsidR="004E3E12" w:rsidRPr="00634648" w:rsidRDefault="004E3E12" w:rsidP="009971A3">
            <w:pPr>
              <w:jc w:val="center"/>
              <w:rPr>
                <w:rFonts w:ascii="Arial" w:hAnsi="Arial" w:cs="Arial"/>
                <w:sz w:val="16"/>
                <w:szCs w:val="16"/>
              </w:rPr>
            </w:pPr>
            <w:r>
              <w:rPr>
                <w:rFonts w:ascii="Arial" w:hAnsi="Arial" w:cs="Arial"/>
                <w:sz w:val="16"/>
                <w:szCs w:val="16"/>
              </w:rPr>
              <w:t>12</w:t>
            </w:r>
          </w:p>
        </w:tc>
      </w:tr>
      <w:tr w:rsidR="004E3E12" w:rsidRPr="00634648" w:rsidTr="00132E6E">
        <w:tc>
          <w:tcPr>
            <w:tcW w:w="2410" w:type="dxa"/>
          </w:tcPr>
          <w:p w:rsidR="004E3E12" w:rsidRPr="00634648" w:rsidRDefault="004E3E12" w:rsidP="009971A3">
            <w:pPr>
              <w:jc w:val="center"/>
              <w:rPr>
                <w:rFonts w:ascii="Arial" w:hAnsi="Arial" w:cs="Arial"/>
                <w:sz w:val="16"/>
                <w:szCs w:val="16"/>
              </w:rPr>
            </w:pPr>
            <w:r>
              <w:rPr>
                <w:rFonts w:ascii="Arial" w:hAnsi="Arial" w:cs="Arial"/>
                <w:sz w:val="16"/>
                <w:szCs w:val="16"/>
              </w:rPr>
              <w:t>EAF/EFH (%)</w:t>
            </w:r>
          </w:p>
        </w:tc>
        <w:tc>
          <w:tcPr>
            <w:tcW w:w="709" w:type="dxa"/>
          </w:tcPr>
          <w:p w:rsidR="004E3E12" w:rsidRPr="00634648" w:rsidRDefault="004E3E12" w:rsidP="009971A3">
            <w:pPr>
              <w:jc w:val="center"/>
              <w:rPr>
                <w:rFonts w:ascii="Arial" w:hAnsi="Arial" w:cs="Arial"/>
                <w:sz w:val="16"/>
                <w:szCs w:val="16"/>
              </w:rPr>
            </w:pPr>
            <w:r>
              <w:rPr>
                <w:rFonts w:ascii="Arial" w:hAnsi="Arial" w:cs="Arial"/>
                <w:sz w:val="16"/>
                <w:szCs w:val="16"/>
              </w:rPr>
              <w:t>184</w:t>
            </w:r>
          </w:p>
        </w:tc>
        <w:tc>
          <w:tcPr>
            <w:tcW w:w="709" w:type="dxa"/>
          </w:tcPr>
          <w:p w:rsidR="004E3E12" w:rsidRPr="00634648" w:rsidRDefault="004E3E12" w:rsidP="009971A3">
            <w:pPr>
              <w:jc w:val="center"/>
              <w:rPr>
                <w:rFonts w:ascii="Arial" w:hAnsi="Arial" w:cs="Arial"/>
                <w:sz w:val="16"/>
                <w:szCs w:val="16"/>
              </w:rPr>
            </w:pPr>
            <w:r>
              <w:rPr>
                <w:rFonts w:ascii="Arial" w:hAnsi="Arial" w:cs="Arial"/>
                <w:sz w:val="16"/>
                <w:szCs w:val="16"/>
              </w:rPr>
              <w:t>130</w:t>
            </w:r>
          </w:p>
        </w:tc>
        <w:tc>
          <w:tcPr>
            <w:tcW w:w="992" w:type="dxa"/>
          </w:tcPr>
          <w:p w:rsidR="004E3E12" w:rsidRPr="00634648" w:rsidRDefault="004E3E12" w:rsidP="009971A3">
            <w:pPr>
              <w:jc w:val="center"/>
              <w:rPr>
                <w:rFonts w:ascii="Arial" w:hAnsi="Arial" w:cs="Arial"/>
                <w:sz w:val="16"/>
                <w:szCs w:val="16"/>
              </w:rPr>
            </w:pPr>
            <w:r>
              <w:rPr>
                <w:rFonts w:ascii="Arial" w:hAnsi="Arial" w:cs="Arial"/>
                <w:sz w:val="16"/>
                <w:szCs w:val="16"/>
              </w:rPr>
              <w:t>117</w:t>
            </w:r>
          </w:p>
        </w:tc>
        <w:tc>
          <w:tcPr>
            <w:tcW w:w="992" w:type="dxa"/>
          </w:tcPr>
          <w:p w:rsidR="004E3E12" w:rsidRPr="00634648" w:rsidRDefault="004E3E12" w:rsidP="009971A3">
            <w:pPr>
              <w:jc w:val="center"/>
              <w:rPr>
                <w:rFonts w:ascii="Arial" w:hAnsi="Arial" w:cs="Arial"/>
                <w:sz w:val="16"/>
                <w:szCs w:val="16"/>
              </w:rPr>
            </w:pPr>
            <w:r>
              <w:rPr>
                <w:rFonts w:ascii="Arial" w:hAnsi="Arial" w:cs="Arial"/>
                <w:sz w:val="16"/>
                <w:szCs w:val="16"/>
              </w:rPr>
              <w:t>117</w:t>
            </w:r>
          </w:p>
        </w:tc>
        <w:tc>
          <w:tcPr>
            <w:tcW w:w="851" w:type="dxa"/>
          </w:tcPr>
          <w:p w:rsidR="004E3E12" w:rsidRPr="00634648" w:rsidRDefault="004E3E12" w:rsidP="009971A3">
            <w:pPr>
              <w:jc w:val="center"/>
              <w:rPr>
                <w:rFonts w:ascii="Arial" w:hAnsi="Arial" w:cs="Arial"/>
                <w:sz w:val="16"/>
                <w:szCs w:val="16"/>
              </w:rPr>
            </w:pPr>
            <w:r>
              <w:rPr>
                <w:rFonts w:ascii="Arial" w:hAnsi="Arial" w:cs="Arial"/>
                <w:sz w:val="16"/>
                <w:szCs w:val="16"/>
              </w:rPr>
              <w:t>115</w:t>
            </w:r>
          </w:p>
        </w:tc>
        <w:tc>
          <w:tcPr>
            <w:tcW w:w="992" w:type="dxa"/>
          </w:tcPr>
          <w:p w:rsidR="004E3E12" w:rsidRPr="00634648" w:rsidRDefault="004E3E12" w:rsidP="009971A3">
            <w:pPr>
              <w:jc w:val="center"/>
              <w:rPr>
                <w:rFonts w:ascii="Arial" w:hAnsi="Arial" w:cs="Arial"/>
                <w:sz w:val="16"/>
                <w:szCs w:val="16"/>
              </w:rPr>
            </w:pPr>
            <w:r>
              <w:rPr>
                <w:rFonts w:ascii="Arial" w:hAnsi="Arial" w:cs="Arial"/>
                <w:sz w:val="16"/>
                <w:szCs w:val="16"/>
              </w:rPr>
              <w:t>112</w:t>
            </w:r>
          </w:p>
        </w:tc>
      </w:tr>
      <w:tr w:rsidR="004E3E12" w:rsidRPr="00634648" w:rsidTr="00132E6E">
        <w:tc>
          <w:tcPr>
            <w:tcW w:w="2410" w:type="dxa"/>
          </w:tcPr>
          <w:p w:rsidR="004E3E12" w:rsidRPr="00634648" w:rsidRDefault="00594DCA" w:rsidP="009971A3">
            <w:pPr>
              <w:jc w:val="center"/>
              <w:rPr>
                <w:rFonts w:ascii="Arial" w:hAnsi="Arial" w:cs="Arial"/>
                <w:sz w:val="16"/>
                <w:szCs w:val="16"/>
              </w:rPr>
            </w:pPr>
            <w:r>
              <w:rPr>
                <w:rFonts w:ascii="Arial" w:hAnsi="Arial" w:cs="Arial"/>
                <w:sz w:val="16"/>
                <w:szCs w:val="16"/>
              </w:rPr>
              <w:t>EAMX/EAF (meses</w:t>
            </w:r>
            <w:r w:rsidR="004E3E12">
              <w:rPr>
                <w:rFonts w:ascii="Arial" w:hAnsi="Arial" w:cs="Arial"/>
                <w:sz w:val="16"/>
                <w:szCs w:val="16"/>
              </w:rPr>
              <w:t>)</w:t>
            </w:r>
          </w:p>
        </w:tc>
        <w:tc>
          <w:tcPr>
            <w:tcW w:w="709" w:type="dxa"/>
          </w:tcPr>
          <w:p w:rsidR="004E3E12" w:rsidRPr="00634648" w:rsidRDefault="004E3E12" w:rsidP="009971A3">
            <w:pPr>
              <w:jc w:val="center"/>
              <w:rPr>
                <w:rFonts w:ascii="Arial" w:hAnsi="Arial" w:cs="Arial"/>
                <w:sz w:val="16"/>
                <w:szCs w:val="16"/>
              </w:rPr>
            </w:pPr>
            <w:r>
              <w:rPr>
                <w:rFonts w:ascii="Arial" w:hAnsi="Arial" w:cs="Arial"/>
                <w:sz w:val="16"/>
                <w:szCs w:val="16"/>
              </w:rPr>
              <w:t>2,95</w:t>
            </w:r>
          </w:p>
        </w:tc>
        <w:tc>
          <w:tcPr>
            <w:tcW w:w="709" w:type="dxa"/>
          </w:tcPr>
          <w:p w:rsidR="004E3E12" w:rsidRPr="00634648" w:rsidRDefault="004E3E12" w:rsidP="009971A3">
            <w:pPr>
              <w:jc w:val="center"/>
              <w:rPr>
                <w:rFonts w:ascii="Arial" w:hAnsi="Arial" w:cs="Arial"/>
                <w:sz w:val="16"/>
                <w:szCs w:val="16"/>
              </w:rPr>
            </w:pPr>
            <w:r>
              <w:rPr>
                <w:rFonts w:ascii="Arial" w:hAnsi="Arial" w:cs="Arial"/>
                <w:sz w:val="16"/>
                <w:szCs w:val="16"/>
              </w:rPr>
              <w:t>5,43</w:t>
            </w:r>
          </w:p>
        </w:tc>
        <w:tc>
          <w:tcPr>
            <w:tcW w:w="992" w:type="dxa"/>
          </w:tcPr>
          <w:p w:rsidR="004E3E12" w:rsidRPr="00634648" w:rsidRDefault="004E3E12" w:rsidP="009971A3">
            <w:pPr>
              <w:jc w:val="center"/>
              <w:rPr>
                <w:rFonts w:ascii="Arial" w:hAnsi="Arial" w:cs="Arial"/>
                <w:sz w:val="16"/>
                <w:szCs w:val="16"/>
              </w:rPr>
            </w:pPr>
            <w:r>
              <w:rPr>
                <w:rFonts w:ascii="Arial" w:hAnsi="Arial" w:cs="Arial"/>
                <w:sz w:val="16"/>
                <w:szCs w:val="16"/>
              </w:rPr>
              <w:t>5,85</w:t>
            </w:r>
          </w:p>
        </w:tc>
        <w:tc>
          <w:tcPr>
            <w:tcW w:w="992" w:type="dxa"/>
          </w:tcPr>
          <w:p w:rsidR="004E3E12" w:rsidRPr="00634648" w:rsidRDefault="004E3E12" w:rsidP="009971A3">
            <w:pPr>
              <w:jc w:val="center"/>
              <w:rPr>
                <w:rFonts w:ascii="Arial" w:hAnsi="Arial" w:cs="Arial"/>
                <w:sz w:val="16"/>
                <w:szCs w:val="16"/>
              </w:rPr>
            </w:pPr>
            <w:r>
              <w:rPr>
                <w:rFonts w:ascii="Arial" w:hAnsi="Arial" w:cs="Arial"/>
                <w:sz w:val="16"/>
                <w:szCs w:val="16"/>
              </w:rPr>
              <w:t>5,59</w:t>
            </w:r>
          </w:p>
        </w:tc>
        <w:tc>
          <w:tcPr>
            <w:tcW w:w="851" w:type="dxa"/>
          </w:tcPr>
          <w:p w:rsidR="004E3E12" w:rsidRPr="00634648" w:rsidRDefault="004E3E12" w:rsidP="009971A3">
            <w:pPr>
              <w:jc w:val="center"/>
              <w:rPr>
                <w:rFonts w:ascii="Arial" w:hAnsi="Arial" w:cs="Arial"/>
                <w:sz w:val="16"/>
                <w:szCs w:val="16"/>
              </w:rPr>
            </w:pPr>
            <w:r>
              <w:rPr>
                <w:rFonts w:ascii="Arial" w:hAnsi="Arial" w:cs="Arial"/>
                <w:sz w:val="16"/>
                <w:szCs w:val="16"/>
              </w:rPr>
              <w:t>6,10</w:t>
            </w:r>
          </w:p>
        </w:tc>
        <w:tc>
          <w:tcPr>
            <w:tcW w:w="992" w:type="dxa"/>
          </w:tcPr>
          <w:p w:rsidR="004E3E12" w:rsidRPr="00634648" w:rsidRDefault="004E3E12" w:rsidP="009971A3">
            <w:pPr>
              <w:jc w:val="center"/>
              <w:rPr>
                <w:rFonts w:ascii="Arial" w:hAnsi="Arial" w:cs="Arial"/>
                <w:sz w:val="16"/>
                <w:szCs w:val="16"/>
              </w:rPr>
            </w:pPr>
            <w:r>
              <w:rPr>
                <w:rFonts w:ascii="Arial" w:hAnsi="Arial" w:cs="Arial"/>
                <w:sz w:val="16"/>
                <w:szCs w:val="16"/>
              </w:rPr>
              <w:t>6,51</w:t>
            </w:r>
          </w:p>
        </w:tc>
      </w:tr>
      <w:tr w:rsidR="004E3E12" w:rsidRPr="00634648" w:rsidTr="00132E6E">
        <w:tc>
          <w:tcPr>
            <w:tcW w:w="2410" w:type="dxa"/>
          </w:tcPr>
          <w:p w:rsidR="004E3E12" w:rsidRPr="00634648" w:rsidRDefault="004E3E12" w:rsidP="009971A3">
            <w:pPr>
              <w:jc w:val="center"/>
              <w:rPr>
                <w:rFonts w:ascii="Arial" w:hAnsi="Arial" w:cs="Arial"/>
                <w:sz w:val="16"/>
                <w:szCs w:val="16"/>
              </w:rPr>
            </w:pPr>
            <w:r>
              <w:rPr>
                <w:rFonts w:ascii="Arial" w:hAnsi="Arial" w:cs="Arial"/>
                <w:sz w:val="16"/>
                <w:szCs w:val="16"/>
              </w:rPr>
              <w:t>EFIO/EC (%)</w:t>
            </w:r>
          </w:p>
        </w:tc>
        <w:tc>
          <w:tcPr>
            <w:tcW w:w="709" w:type="dxa"/>
          </w:tcPr>
          <w:p w:rsidR="004E3E12" w:rsidRPr="00634648" w:rsidRDefault="004E3E12" w:rsidP="009971A3">
            <w:pPr>
              <w:jc w:val="center"/>
              <w:rPr>
                <w:rFonts w:ascii="Arial" w:hAnsi="Arial" w:cs="Arial"/>
                <w:sz w:val="16"/>
                <w:szCs w:val="16"/>
              </w:rPr>
            </w:pPr>
            <w:r>
              <w:rPr>
                <w:rFonts w:ascii="Arial" w:hAnsi="Arial" w:cs="Arial"/>
                <w:sz w:val="16"/>
                <w:szCs w:val="16"/>
              </w:rPr>
              <w:t>18</w:t>
            </w:r>
          </w:p>
        </w:tc>
        <w:tc>
          <w:tcPr>
            <w:tcW w:w="709" w:type="dxa"/>
          </w:tcPr>
          <w:p w:rsidR="004E3E12" w:rsidRPr="00634648" w:rsidRDefault="004E3E12" w:rsidP="009971A3">
            <w:pPr>
              <w:jc w:val="center"/>
              <w:rPr>
                <w:rFonts w:ascii="Arial" w:hAnsi="Arial" w:cs="Arial"/>
                <w:sz w:val="16"/>
                <w:szCs w:val="16"/>
              </w:rPr>
            </w:pPr>
            <w:r>
              <w:rPr>
                <w:rFonts w:ascii="Arial" w:hAnsi="Arial" w:cs="Arial"/>
                <w:sz w:val="16"/>
                <w:szCs w:val="16"/>
              </w:rPr>
              <w:t>54</w:t>
            </w:r>
          </w:p>
        </w:tc>
        <w:tc>
          <w:tcPr>
            <w:tcW w:w="992" w:type="dxa"/>
          </w:tcPr>
          <w:p w:rsidR="004E3E12" w:rsidRPr="00634648" w:rsidRDefault="004E3E12" w:rsidP="009971A3">
            <w:pPr>
              <w:jc w:val="center"/>
              <w:rPr>
                <w:rFonts w:ascii="Arial" w:hAnsi="Arial" w:cs="Arial"/>
                <w:sz w:val="16"/>
                <w:szCs w:val="16"/>
              </w:rPr>
            </w:pPr>
            <w:r>
              <w:rPr>
                <w:rFonts w:ascii="Arial" w:hAnsi="Arial" w:cs="Arial"/>
                <w:sz w:val="16"/>
                <w:szCs w:val="16"/>
              </w:rPr>
              <w:t>46</w:t>
            </w:r>
          </w:p>
        </w:tc>
        <w:tc>
          <w:tcPr>
            <w:tcW w:w="992" w:type="dxa"/>
          </w:tcPr>
          <w:p w:rsidR="004E3E12" w:rsidRPr="00634648" w:rsidRDefault="004E3E12" w:rsidP="009971A3">
            <w:pPr>
              <w:jc w:val="center"/>
              <w:rPr>
                <w:rFonts w:ascii="Arial" w:hAnsi="Arial" w:cs="Arial"/>
                <w:sz w:val="16"/>
                <w:szCs w:val="16"/>
              </w:rPr>
            </w:pPr>
            <w:r>
              <w:rPr>
                <w:rFonts w:ascii="Arial" w:hAnsi="Arial" w:cs="Arial"/>
                <w:sz w:val="16"/>
                <w:szCs w:val="16"/>
              </w:rPr>
              <w:t>57</w:t>
            </w:r>
          </w:p>
        </w:tc>
        <w:tc>
          <w:tcPr>
            <w:tcW w:w="851" w:type="dxa"/>
          </w:tcPr>
          <w:p w:rsidR="004E3E12" w:rsidRPr="00634648" w:rsidRDefault="004E3E12" w:rsidP="009971A3">
            <w:pPr>
              <w:jc w:val="center"/>
              <w:rPr>
                <w:rFonts w:ascii="Arial" w:hAnsi="Arial" w:cs="Arial"/>
                <w:sz w:val="16"/>
                <w:szCs w:val="16"/>
              </w:rPr>
            </w:pPr>
            <w:r>
              <w:rPr>
                <w:rFonts w:ascii="Arial" w:hAnsi="Arial" w:cs="Arial"/>
                <w:sz w:val="16"/>
                <w:szCs w:val="16"/>
              </w:rPr>
              <w:t>55</w:t>
            </w:r>
          </w:p>
        </w:tc>
        <w:tc>
          <w:tcPr>
            <w:tcW w:w="992" w:type="dxa"/>
          </w:tcPr>
          <w:p w:rsidR="004E3E12" w:rsidRPr="00634648" w:rsidRDefault="004E3E12" w:rsidP="009971A3">
            <w:pPr>
              <w:jc w:val="center"/>
              <w:rPr>
                <w:rFonts w:ascii="Arial" w:hAnsi="Arial" w:cs="Arial"/>
                <w:sz w:val="16"/>
                <w:szCs w:val="16"/>
              </w:rPr>
            </w:pPr>
            <w:r>
              <w:rPr>
                <w:rFonts w:ascii="Arial" w:hAnsi="Arial" w:cs="Arial"/>
                <w:sz w:val="16"/>
                <w:szCs w:val="16"/>
              </w:rPr>
              <w:t>49</w:t>
            </w:r>
          </w:p>
        </w:tc>
      </w:tr>
      <w:tr w:rsidR="004E3E12" w:rsidRPr="00634648" w:rsidTr="00132E6E">
        <w:tc>
          <w:tcPr>
            <w:tcW w:w="2410" w:type="dxa"/>
          </w:tcPr>
          <w:p w:rsidR="004E3E12" w:rsidRPr="00634648" w:rsidRDefault="004E3E12" w:rsidP="009971A3">
            <w:pPr>
              <w:jc w:val="center"/>
              <w:rPr>
                <w:rFonts w:ascii="Arial" w:hAnsi="Arial" w:cs="Arial"/>
                <w:sz w:val="16"/>
                <w:szCs w:val="16"/>
              </w:rPr>
            </w:pPr>
            <w:r>
              <w:rPr>
                <w:rFonts w:ascii="Arial" w:hAnsi="Arial" w:cs="Arial"/>
                <w:sz w:val="16"/>
                <w:szCs w:val="16"/>
              </w:rPr>
              <w:t>ESHT/ESH (%)</w:t>
            </w:r>
          </w:p>
        </w:tc>
        <w:tc>
          <w:tcPr>
            <w:tcW w:w="709" w:type="dxa"/>
          </w:tcPr>
          <w:p w:rsidR="004E3E12" w:rsidRPr="00634648" w:rsidRDefault="004E3E12" w:rsidP="009971A3">
            <w:pPr>
              <w:jc w:val="center"/>
              <w:rPr>
                <w:rFonts w:ascii="Arial" w:hAnsi="Arial" w:cs="Arial"/>
                <w:sz w:val="16"/>
                <w:szCs w:val="16"/>
              </w:rPr>
            </w:pPr>
            <w:r>
              <w:rPr>
                <w:rFonts w:ascii="Arial" w:hAnsi="Arial" w:cs="Arial"/>
                <w:sz w:val="16"/>
                <w:szCs w:val="16"/>
              </w:rPr>
              <w:t>45</w:t>
            </w:r>
          </w:p>
        </w:tc>
        <w:tc>
          <w:tcPr>
            <w:tcW w:w="709" w:type="dxa"/>
          </w:tcPr>
          <w:p w:rsidR="004E3E12" w:rsidRPr="00634648" w:rsidRDefault="004E3E12" w:rsidP="009971A3">
            <w:pPr>
              <w:jc w:val="center"/>
              <w:rPr>
                <w:rFonts w:ascii="Arial" w:hAnsi="Arial" w:cs="Arial"/>
                <w:sz w:val="16"/>
                <w:szCs w:val="16"/>
              </w:rPr>
            </w:pPr>
            <w:r>
              <w:rPr>
                <w:rFonts w:ascii="Arial" w:hAnsi="Arial" w:cs="Arial"/>
                <w:sz w:val="16"/>
                <w:szCs w:val="16"/>
              </w:rPr>
              <w:t>18</w:t>
            </w:r>
          </w:p>
        </w:tc>
        <w:tc>
          <w:tcPr>
            <w:tcW w:w="992" w:type="dxa"/>
          </w:tcPr>
          <w:p w:rsidR="004E3E12" w:rsidRPr="00634648" w:rsidRDefault="004E3E12" w:rsidP="009971A3">
            <w:pPr>
              <w:jc w:val="center"/>
              <w:rPr>
                <w:rFonts w:ascii="Arial" w:hAnsi="Arial" w:cs="Arial"/>
                <w:sz w:val="16"/>
                <w:szCs w:val="16"/>
              </w:rPr>
            </w:pPr>
            <w:r>
              <w:rPr>
                <w:rFonts w:ascii="Arial" w:hAnsi="Arial" w:cs="Arial"/>
                <w:sz w:val="16"/>
                <w:szCs w:val="16"/>
              </w:rPr>
              <w:t>67</w:t>
            </w:r>
          </w:p>
        </w:tc>
        <w:tc>
          <w:tcPr>
            <w:tcW w:w="992" w:type="dxa"/>
          </w:tcPr>
          <w:p w:rsidR="004E3E12" w:rsidRPr="00634648" w:rsidRDefault="004E3E12" w:rsidP="009971A3">
            <w:pPr>
              <w:jc w:val="center"/>
              <w:rPr>
                <w:rFonts w:ascii="Arial" w:hAnsi="Arial" w:cs="Arial"/>
                <w:sz w:val="16"/>
                <w:szCs w:val="16"/>
              </w:rPr>
            </w:pPr>
            <w:r>
              <w:rPr>
                <w:rFonts w:ascii="Arial" w:hAnsi="Arial" w:cs="Arial"/>
                <w:sz w:val="16"/>
                <w:szCs w:val="16"/>
              </w:rPr>
              <w:t>90</w:t>
            </w:r>
          </w:p>
        </w:tc>
        <w:tc>
          <w:tcPr>
            <w:tcW w:w="851" w:type="dxa"/>
          </w:tcPr>
          <w:p w:rsidR="004E3E12" w:rsidRPr="00634648" w:rsidRDefault="004E3E12" w:rsidP="009971A3">
            <w:pPr>
              <w:jc w:val="center"/>
              <w:rPr>
                <w:rFonts w:ascii="Arial" w:hAnsi="Arial" w:cs="Arial"/>
                <w:sz w:val="16"/>
                <w:szCs w:val="16"/>
              </w:rPr>
            </w:pPr>
            <w:r>
              <w:rPr>
                <w:rFonts w:ascii="Arial" w:hAnsi="Arial" w:cs="Arial"/>
                <w:sz w:val="16"/>
                <w:szCs w:val="16"/>
              </w:rPr>
              <w:t>78</w:t>
            </w:r>
          </w:p>
        </w:tc>
        <w:tc>
          <w:tcPr>
            <w:tcW w:w="992" w:type="dxa"/>
          </w:tcPr>
          <w:p w:rsidR="004E3E12" w:rsidRPr="00634648" w:rsidRDefault="004E3E12" w:rsidP="009971A3">
            <w:pPr>
              <w:jc w:val="center"/>
              <w:rPr>
                <w:rFonts w:ascii="Arial" w:hAnsi="Arial" w:cs="Arial"/>
                <w:sz w:val="16"/>
                <w:szCs w:val="16"/>
              </w:rPr>
            </w:pPr>
            <w:r>
              <w:rPr>
                <w:rFonts w:ascii="Arial" w:hAnsi="Arial" w:cs="Arial"/>
                <w:sz w:val="16"/>
                <w:szCs w:val="16"/>
              </w:rPr>
              <w:t>68</w:t>
            </w:r>
          </w:p>
        </w:tc>
      </w:tr>
      <w:tr w:rsidR="004E3E12" w:rsidRPr="00634648" w:rsidTr="00132E6E">
        <w:tc>
          <w:tcPr>
            <w:tcW w:w="2410" w:type="dxa"/>
          </w:tcPr>
          <w:p w:rsidR="004E3E12" w:rsidRPr="00634648" w:rsidRDefault="004E3E12" w:rsidP="009971A3">
            <w:pPr>
              <w:jc w:val="center"/>
              <w:rPr>
                <w:rFonts w:ascii="Arial" w:hAnsi="Arial" w:cs="Arial"/>
                <w:sz w:val="16"/>
                <w:szCs w:val="16"/>
              </w:rPr>
            </w:pPr>
            <w:r>
              <w:rPr>
                <w:rFonts w:ascii="Arial" w:hAnsi="Arial" w:cs="Arial"/>
                <w:sz w:val="16"/>
                <w:szCs w:val="16"/>
              </w:rPr>
              <w:t>Período Crítico</w:t>
            </w:r>
          </w:p>
        </w:tc>
        <w:tc>
          <w:tcPr>
            <w:tcW w:w="709" w:type="dxa"/>
          </w:tcPr>
          <w:p w:rsidR="004E3E12" w:rsidRPr="00634648" w:rsidRDefault="004E3E12" w:rsidP="009971A3">
            <w:pPr>
              <w:jc w:val="center"/>
              <w:rPr>
                <w:rFonts w:ascii="Arial" w:hAnsi="Arial" w:cs="Arial"/>
                <w:sz w:val="16"/>
                <w:szCs w:val="16"/>
              </w:rPr>
            </w:pPr>
          </w:p>
        </w:tc>
        <w:tc>
          <w:tcPr>
            <w:tcW w:w="709" w:type="dxa"/>
          </w:tcPr>
          <w:p w:rsidR="004E3E12" w:rsidRPr="00634648" w:rsidRDefault="004E3E12" w:rsidP="009971A3">
            <w:pPr>
              <w:jc w:val="center"/>
              <w:rPr>
                <w:rFonts w:ascii="Arial" w:hAnsi="Arial" w:cs="Arial"/>
                <w:sz w:val="16"/>
                <w:szCs w:val="16"/>
              </w:rPr>
            </w:pPr>
          </w:p>
        </w:tc>
        <w:tc>
          <w:tcPr>
            <w:tcW w:w="992" w:type="dxa"/>
          </w:tcPr>
          <w:p w:rsidR="004E3E12" w:rsidRPr="00634648" w:rsidRDefault="004E3E12" w:rsidP="009971A3">
            <w:pPr>
              <w:jc w:val="center"/>
              <w:rPr>
                <w:rFonts w:ascii="Arial" w:hAnsi="Arial" w:cs="Arial"/>
                <w:sz w:val="16"/>
                <w:szCs w:val="16"/>
              </w:rPr>
            </w:pPr>
          </w:p>
        </w:tc>
        <w:tc>
          <w:tcPr>
            <w:tcW w:w="992" w:type="dxa"/>
          </w:tcPr>
          <w:p w:rsidR="004E3E12" w:rsidRPr="00634648" w:rsidRDefault="004E3E12" w:rsidP="009971A3">
            <w:pPr>
              <w:jc w:val="center"/>
              <w:rPr>
                <w:rFonts w:ascii="Arial" w:hAnsi="Arial" w:cs="Arial"/>
                <w:sz w:val="16"/>
                <w:szCs w:val="16"/>
              </w:rPr>
            </w:pPr>
          </w:p>
        </w:tc>
        <w:tc>
          <w:tcPr>
            <w:tcW w:w="851" w:type="dxa"/>
          </w:tcPr>
          <w:p w:rsidR="004E3E12" w:rsidRPr="00634648" w:rsidRDefault="004E3E12" w:rsidP="009971A3">
            <w:pPr>
              <w:jc w:val="center"/>
              <w:rPr>
                <w:rFonts w:ascii="Arial" w:hAnsi="Arial" w:cs="Arial"/>
                <w:sz w:val="16"/>
                <w:szCs w:val="16"/>
              </w:rPr>
            </w:pPr>
          </w:p>
        </w:tc>
        <w:tc>
          <w:tcPr>
            <w:tcW w:w="992" w:type="dxa"/>
          </w:tcPr>
          <w:p w:rsidR="004E3E12" w:rsidRPr="00634648" w:rsidRDefault="004E3E12" w:rsidP="009971A3">
            <w:pPr>
              <w:jc w:val="center"/>
              <w:rPr>
                <w:rFonts w:ascii="Arial" w:hAnsi="Arial" w:cs="Arial"/>
                <w:sz w:val="16"/>
                <w:szCs w:val="16"/>
              </w:rPr>
            </w:pPr>
          </w:p>
        </w:tc>
      </w:tr>
      <w:tr w:rsidR="00132E6E" w:rsidTr="00132E6E">
        <w:tc>
          <w:tcPr>
            <w:tcW w:w="2410" w:type="dxa"/>
          </w:tcPr>
          <w:p w:rsidR="00132E6E" w:rsidRPr="00132E6E" w:rsidRDefault="00132E6E" w:rsidP="009971A3">
            <w:pPr>
              <w:jc w:val="center"/>
              <w:rPr>
                <w:rFonts w:ascii="Arial" w:hAnsi="Arial" w:cs="Arial"/>
                <w:sz w:val="16"/>
                <w:szCs w:val="16"/>
              </w:rPr>
            </w:pPr>
            <w:r w:rsidRPr="00132E6E">
              <w:rPr>
                <w:rFonts w:ascii="Arial" w:hAnsi="Arial" w:cs="Arial"/>
                <w:sz w:val="16"/>
                <w:szCs w:val="16"/>
              </w:rPr>
              <w:t>Início</w:t>
            </w:r>
          </w:p>
        </w:tc>
        <w:tc>
          <w:tcPr>
            <w:tcW w:w="709" w:type="dxa"/>
          </w:tcPr>
          <w:p w:rsidR="00132E6E" w:rsidRPr="00132E6E" w:rsidRDefault="00132E6E" w:rsidP="009971A3">
            <w:pPr>
              <w:jc w:val="center"/>
              <w:rPr>
                <w:rFonts w:ascii="Arial" w:hAnsi="Arial" w:cs="Arial"/>
                <w:sz w:val="16"/>
                <w:szCs w:val="16"/>
              </w:rPr>
            </w:pPr>
            <w:r w:rsidRPr="00132E6E">
              <w:rPr>
                <w:rFonts w:ascii="Arial" w:hAnsi="Arial" w:cs="Arial"/>
                <w:sz w:val="16"/>
                <w:szCs w:val="16"/>
              </w:rPr>
              <w:t>04/44</w:t>
            </w:r>
          </w:p>
        </w:tc>
        <w:tc>
          <w:tcPr>
            <w:tcW w:w="709" w:type="dxa"/>
          </w:tcPr>
          <w:p w:rsidR="00132E6E" w:rsidRPr="00132E6E" w:rsidRDefault="00132E6E" w:rsidP="009971A3">
            <w:pPr>
              <w:jc w:val="center"/>
              <w:rPr>
                <w:rFonts w:ascii="Arial" w:hAnsi="Arial" w:cs="Arial"/>
                <w:sz w:val="16"/>
                <w:szCs w:val="16"/>
              </w:rPr>
            </w:pPr>
            <w:r w:rsidRPr="00132E6E">
              <w:rPr>
                <w:rFonts w:ascii="Arial" w:hAnsi="Arial" w:cs="Arial"/>
                <w:sz w:val="16"/>
                <w:szCs w:val="16"/>
              </w:rPr>
              <w:t>07/52</w:t>
            </w:r>
          </w:p>
        </w:tc>
        <w:tc>
          <w:tcPr>
            <w:tcW w:w="992" w:type="dxa"/>
          </w:tcPr>
          <w:p w:rsidR="00132E6E" w:rsidRPr="00132E6E" w:rsidRDefault="00132E6E" w:rsidP="009971A3">
            <w:pPr>
              <w:jc w:val="center"/>
              <w:rPr>
                <w:rFonts w:ascii="Arial" w:hAnsi="Arial" w:cs="Arial"/>
                <w:sz w:val="16"/>
                <w:szCs w:val="16"/>
              </w:rPr>
            </w:pPr>
            <w:r w:rsidRPr="00132E6E">
              <w:rPr>
                <w:rFonts w:ascii="Arial" w:hAnsi="Arial" w:cs="Arial"/>
                <w:sz w:val="16"/>
                <w:szCs w:val="16"/>
              </w:rPr>
              <w:t>05/52</w:t>
            </w:r>
          </w:p>
        </w:tc>
        <w:tc>
          <w:tcPr>
            <w:tcW w:w="992" w:type="dxa"/>
          </w:tcPr>
          <w:p w:rsidR="00132E6E" w:rsidRPr="00132E6E" w:rsidRDefault="00132E6E" w:rsidP="009971A3">
            <w:pPr>
              <w:jc w:val="center"/>
              <w:rPr>
                <w:rFonts w:ascii="Arial" w:hAnsi="Arial" w:cs="Arial"/>
                <w:sz w:val="16"/>
                <w:szCs w:val="16"/>
              </w:rPr>
            </w:pPr>
            <w:r w:rsidRPr="00132E6E">
              <w:rPr>
                <w:rFonts w:ascii="Arial" w:hAnsi="Arial" w:cs="Arial"/>
                <w:sz w:val="16"/>
                <w:szCs w:val="16"/>
              </w:rPr>
              <w:t>05/52</w:t>
            </w:r>
          </w:p>
        </w:tc>
        <w:tc>
          <w:tcPr>
            <w:tcW w:w="851" w:type="dxa"/>
          </w:tcPr>
          <w:p w:rsidR="00132E6E" w:rsidRPr="00132E6E" w:rsidRDefault="00132E6E" w:rsidP="009971A3">
            <w:pPr>
              <w:jc w:val="center"/>
              <w:rPr>
                <w:rFonts w:ascii="Arial" w:hAnsi="Arial" w:cs="Arial"/>
                <w:sz w:val="16"/>
                <w:szCs w:val="16"/>
              </w:rPr>
            </w:pPr>
            <w:r w:rsidRPr="00132E6E">
              <w:rPr>
                <w:rFonts w:ascii="Arial" w:hAnsi="Arial" w:cs="Arial"/>
                <w:sz w:val="16"/>
                <w:szCs w:val="16"/>
              </w:rPr>
              <w:t>05/52</w:t>
            </w:r>
          </w:p>
        </w:tc>
        <w:tc>
          <w:tcPr>
            <w:tcW w:w="992" w:type="dxa"/>
          </w:tcPr>
          <w:p w:rsidR="00132E6E" w:rsidRPr="00132E6E" w:rsidRDefault="00132E6E" w:rsidP="009971A3">
            <w:pPr>
              <w:jc w:val="center"/>
              <w:rPr>
                <w:rFonts w:ascii="Arial" w:hAnsi="Arial" w:cs="Arial"/>
                <w:sz w:val="16"/>
                <w:szCs w:val="16"/>
              </w:rPr>
            </w:pPr>
            <w:r w:rsidRPr="00132E6E">
              <w:rPr>
                <w:rFonts w:ascii="Arial" w:hAnsi="Arial" w:cs="Arial"/>
                <w:sz w:val="16"/>
                <w:szCs w:val="16"/>
              </w:rPr>
              <w:t>05/51</w:t>
            </w:r>
          </w:p>
        </w:tc>
      </w:tr>
      <w:tr w:rsidR="00132E6E" w:rsidTr="00132E6E">
        <w:tc>
          <w:tcPr>
            <w:tcW w:w="2410" w:type="dxa"/>
          </w:tcPr>
          <w:p w:rsidR="00132E6E" w:rsidRPr="00132E6E" w:rsidRDefault="00132E6E" w:rsidP="009971A3">
            <w:pPr>
              <w:jc w:val="center"/>
              <w:rPr>
                <w:rFonts w:ascii="Arial" w:hAnsi="Arial" w:cs="Arial"/>
                <w:sz w:val="16"/>
                <w:szCs w:val="16"/>
              </w:rPr>
            </w:pPr>
            <w:r w:rsidRPr="00132E6E">
              <w:rPr>
                <w:rFonts w:ascii="Arial" w:hAnsi="Arial" w:cs="Arial"/>
                <w:sz w:val="16"/>
                <w:szCs w:val="16"/>
              </w:rPr>
              <w:t>Término</w:t>
            </w:r>
          </w:p>
        </w:tc>
        <w:tc>
          <w:tcPr>
            <w:tcW w:w="709" w:type="dxa"/>
          </w:tcPr>
          <w:p w:rsidR="00132E6E" w:rsidRPr="00132E6E" w:rsidRDefault="00132E6E" w:rsidP="009971A3">
            <w:pPr>
              <w:jc w:val="center"/>
              <w:rPr>
                <w:rFonts w:ascii="Arial" w:hAnsi="Arial" w:cs="Arial"/>
                <w:sz w:val="16"/>
                <w:szCs w:val="16"/>
              </w:rPr>
            </w:pPr>
            <w:r w:rsidRPr="00132E6E">
              <w:rPr>
                <w:rFonts w:ascii="Arial" w:hAnsi="Arial" w:cs="Arial"/>
                <w:sz w:val="16"/>
                <w:szCs w:val="16"/>
              </w:rPr>
              <w:t>06/45</w:t>
            </w:r>
          </w:p>
        </w:tc>
        <w:tc>
          <w:tcPr>
            <w:tcW w:w="709" w:type="dxa"/>
          </w:tcPr>
          <w:p w:rsidR="00132E6E" w:rsidRPr="00132E6E" w:rsidRDefault="00132E6E" w:rsidP="009971A3">
            <w:pPr>
              <w:jc w:val="center"/>
              <w:rPr>
                <w:rFonts w:ascii="Arial" w:hAnsi="Arial" w:cs="Arial"/>
                <w:sz w:val="16"/>
                <w:szCs w:val="16"/>
              </w:rPr>
            </w:pPr>
            <w:r w:rsidRPr="00132E6E">
              <w:rPr>
                <w:rFonts w:ascii="Arial" w:hAnsi="Arial" w:cs="Arial"/>
                <w:sz w:val="16"/>
                <w:szCs w:val="16"/>
              </w:rPr>
              <w:t>11/56</w:t>
            </w:r>
          </w:p>
        </w:tc>
        <w:tc>
          <w:tcPr>
            <w:tcW w:w="992" w:type="dxa"/>
          </w:tcPr>
          <w:p w:rsidR="00132E6E" w:rsidRPr="00132E6E" w:rsidRDefault="00132E6E" w:rsidP="009971A3">
            <w:pPr>
              <w:jc w:val="center"/>
              <w:rPr>
                <w:rFonts w:ascii="Arial" w:hAnsi="Arial" w:cs="Arial"/>
                <w:sz w:val="16"/>
                <w:szCs w:val="16"/>
              </w:rPr>
            </w:pPr>
            <w:r w:rsidRPr="00132E6E">
              <w:rPr>
                <w:rFonts w:ascii="Arial" w:hAnsi="Arial" w:cs="Arial"/>
                <w:sz w:val="16"/>
                <w:szCs w:val="16"/>
              </w:rPr>
              <w:t>11/56</w:t>
            </w:r>
          </w:p>
        </w:tc>
        <w:tc>
          <w:tcPr>
            <w:tcW w:w="992" w:type="dxa"/>
          </w:tcPr>
          <w:p w:rsidR="00132E6E" w:rsidRPr="00132E6E" w:rsidRDefault="00132E6E" w:rsidP="009971A3">
            <w:pPr>
              <w:jc w:val="center"/>
              <w:rPr>
                <w:rFonts w:ascii="Arial" w:hAnsi="Arial" w:cs="Arial"/>
                <w:sz w:val="16"/>
                <w:szCs w:val="16"/>
              </w:rPr>
            </w:pPr>
            <w:r w:rsidRPr="00132E6E">
              <w:rPr>
                <w:rFonts w:ascii="Arial" w:hAnsi="Arial" w:cs="Arial"/>
                <w:sz w:val="16"/>
                <w:szCs w:val="16"/>
              </w:rPr>
              <w:t>11/56</w:t>
            </w:r>
          </w:p>
        </w:tc>
        <w:tc>
          <w:tcPr>
            <w:tcW w:w="851" w:type="dxa"/>
          </w:tcPr>
          <w:p w:rsidR="00132E6E" w:rsidRPr="00132E6E" w:rsidRDefault="00132E6E" w:rsidP="009971A3">
            <w:pPr>
              <w:jc w:val="center"/>
              <w:rPr>
                <w:rFonts w:ascii="Arial" w:hAnsi="Arial" w:cs="Arial"/>
                <w:sz w:val="16"/>
                <w:szCs w:val="16"/>
              </w:rPr>
            </w:pPr>
            <w:r w:rsidRPr="00132E6E">
              <w:rPr>
                <w:rFonts w:ascii="Arial" w:hAnsi="Arial" w:cs="Arial"/>
                <w:sz w:val="16"/>
                <w:szCs w:val="16"/>
              </w:rPr>
              <w:t>11/56</w:t>
            </w:r>
          </w:p>
        </w:tc>
        <w:tc>
          <w:tcPr>
            <w:tcW w:w="992" w:type="dxa"/>
          </w:tcPr>
          <w:p w:rsidR="00132E6E" w:rsidRPr="00132E6E" w:rsidRDefault="00132E6E" w:rsidP="009971A3">
            <w:pPr>
              <w:jc w:val="center"/>
              <w:rPr>
                <w:rFonts w:ascii="Arial" w:hAnsi="Arial" w:cs="Arial"/>
                <w:sz w:val="16"/>
                <w:szCs w:val="16"/>
              </w:rPr>
            </w:pPr>
            <w:r w:rsidRPr="00132E6E">
              <w:rPr>
                <w:rFonts w:ascii="Arial" w:hAnsi="Arial" w:cs="Arial"/>
                <w:sz w:val="16"/>
                <w:szCs w:val="16"/>
              </w:rPr>
              <w:t>11/56</w:t>
            </w:r>
          </w:p>
        </w:tc>
      </w:tr>
      <w:tr w:rsidR="00132E6E" w:rsidTr="00132E6E">
        <w:tc>
          <w:tcPr>
            <w:tcW w:w="2410" w:type="dxa"/>
          </w:tcPr>
          <w:p w:rsidR="00132E6E" w:rsidRPr="00132E6E" w:rsidRDefault="00132E6E" w:rsidP="009971A3">
            <w:pPr>
              <w:jc w:val="center"/>
              <w:rPr>
                <w:rFonts w:ascii="Arial" w:hAnsi="Arial" w:cs="Arial"/>
                <w:sz w:val="16"/>
                <w:szCs w:val="16"/>
              </w:rPr>
            </w:pPr>
            <w:r w:rsidRPr="00132E6E">
              <w:rPr>
                <w:rFonts w:ascii="Arial" w:hAnsi="Arial" w:cs="Arial"/>
                <w:sz w:val="16"/>
                <w:szCs w:val="16"/>
              </w:rPr>
              <w:t>Duração</w:t>
            </w:r>
          </w:p>
        </w:tc>
        <w:tc>
          <w:tcPr>
            <w:tcW w:w="709" w:type="dxa"/>
          </w:tcPr>
          <w:p w:rsidR="00132E6E" w:rsidRPr="00132E6E" w:rsidRDefault="00132E6E" w:rsidP="009971A3">
            <w:pPr>
              <w:jc w:val="center"/>
              <w:rPr>
                <w:rFonts w:ascii="Arial" w:hAnsi="Arial" w:cs="Arial"/>
                <w:sz w:val="16"/>
                <w:szCs w:val="16"/>
              </w:rPr>
            </w:pPr>
            <w:r w:rsidRPr="00132E6E">
              <w:rPr>
                <w:rFonts w:ascii="Arial" w:hAnsi="Arial" w:cs="Arial"/>
                <w:sz w:val="16"/>
                <w:szCs w:val="16"/>
              </w:rPr>
              <w:t>15</w:t>
            </w:r>
          </w:p>
        </w:tc>
        <w:tc>
          <w:tcPr>
            <w:tcW w:w="709" w:type="dxa"/>
          </w:tcPr>
          <w:p w:rsidR="00132E6E" w:rsidRPr="00132E6E" w:rsidRDefault="00132E6E" w:rsidP="009971A3">
            <w:pPr>
              <w:jc w:val="center"/>
              <w:rPr>
                <w:rFonts w:ascii="Arial" w:hAnsi="Arial" w:cs="Arial"/>
                <w:sz w:val="16"/>
                <w:szCs w:val="16"/>
              </w:rPr>
            </w:pPr>
            <w:r w:rsidRPr="00132E6E">
              <w:rPr>
                <w:rFonts w:ascii="Arial" w:hAnsi="Arial" w:cs="Arial"/>
                <w:sz w:val="16"/>
                <w:szCs w:val="16"/>
              </w:rPr>
              <w:t>53</w:t>
            </w:r>
          </w:p>
        </w:tc>
        <w:tc>
          <w:tcPr>
            <w:tcW w:w="992" w:type="dxa"/>
          </w:tcPr>
          <w:p w:rsidR="00132E6E" w:rsidRPr="00132E6E" w:rsidRDefault="00132E6E" w:rsidP="009971A3">
            <w:pPr>
              <w:jc w:val="center"/>
              <w:rPr>
                <w:rFonts w:ascii="Arial" w:hAnsi="Arial" w:cs="Arial"/>
                <w:sz w:val="16"/>
                <w:szCs w:val="16"/>
              </w:rPr>
            </w:pPr>
            <w:r w:rsidRPr="00132E6E">
              <w:rPr>
                <w:rFonts w:ascii="Arial" w:hAnsi="Arial" w:cs="Arial"/>
                <w:sz w:val="16"/>
                <w:szCs w:val="16"/>
              </w:rPr>
              <w:t>55</w:t>
            </w:r>
          </w:p>
        </w:tc>
        <w:tc>
          <w:tcPr>
            <w:tcW w:w="992" w:type="dxa"/>
          </w:tcPr>
          <w:p w:rsidR="00132E6E" w:rsidRPr="00132E6E" w:rsidRDefault="00132E6E" w:rsidP="009971A3">
            <w:pPr>
              <w:jc w:val="center"/>
              <w:rPr>
                <w:rFonts w:ascii="Arial" w:hAnsi="Arial" w:cs="Arial"/>
                <w:sz w:val="16"/>
                <w:szCs w:val="16"/>
              </w:rPr>
            </w:pPr>
            <w:r w:rsidRPr="00132E6E">
              <w:rPr>
                <w:rFonts w:ascii="Arial" w:hAnsi="Arial" w:cs="Arial"/>
                <w:sz w:val="16"/>
                <w:szCs w:val="16"/>
              </w:rPr>
              <w:t>55</w:t>
            </w:r>
          </w:p>
        </w:tc>
        <w:tc>
          <w:tcPr>
            <w:tcW w:w="851" w:type="dxa"/>
          </w:tcPr>
          <w:p w:rsidR="00132E6E" w:rsidRPr="00132E6E" w:rsidRDefault="00132E6E" w:rsidP="009971A3">
            <w:pPr>
              <w:jc w:val="center"/>
              <w:rPr>
                <w:rFonts w:ascii="Arial" w:hAnsi="Arial" w:cs="Arial"/>
                <w:sz w:val="16"/>
                <w:szCs w:val="16"/>
              </w:rPr>
            </w:pPr>
            <w:r w:rsidRPr="00132E6E">
              <w:rPr>
                <w:rFonts w:ascii="Arial" w:hAnsi="Arial" w:cs="Arial"/>
                <w:sz w:val="16"/>
                <w:szCs w:val="16"/>
              </w:rPr>
              <w:t>55</w:t>
            </w:r>
          </w:p>
        </w:tc>
        <w:tc>
          <w:tcPr>
            <w:tcW w:w="992" w:type="dxa"/>
          </w:tcPr>
          <w:p w:rsidR="00132E6E" w:rsidRPr="00132E6E" w:rsidRDefault="00132E6E" w:rsidP="009971A3">
            <w:pPr>
              <w:jc w:val="center"/>
              <w:rPr>
                <w:rFonts w:ascii="Arial" w:hAnsi="Arial" w:cs="Arial"/>
                <w:sz w:val="16"/>
                <w:szCs w:val="16"/>
              </w:rPr>
            </w:pPr>
            <w:r w:rsidRPr="00132E6E">
              <w:rPr>
                <w:rFonts w:ascii="Arial" w:hAnsi="Arial" w:cs="Arial"/>
                <w:sz w:val="16"/>
                <w:szCs w:val="16"/>
              </w:rPr>
              <w:t>67</w:t>
            </w:r>
          </w:p>
        </w:tc>
      </w:tr>
    </w:tbl>
    <w:p w:rsidR="00634648" w:rsidRPr="00634648" w:rsidRDefault="00634648" w:rsidP="00634648">
      <w:pPr>
        <w:rPr>
          <w:rFonts w:ascii="Arial" w:hAnsi="Arial" w:cs="Arial"/>
          <w:sz w:val="18"/>
          <w:szCs w:val="18"/>
        </w:rPr>
      </w:pPr>
      <w:r w:rsidRPr="00634648">
        <w:rPr>
          <w:rFonts w:ascii="Arial" w:hAnsi="Arial" w:cs="Arial"/>
          <w:sz w:val="18"/>
          <w:szCs w:val="18"/>
        </w:rPr>
        <w:t xml:space="preserve"> </w:t>
      </w:r>
    </w:p>
    <w:p w:rsidR="00634648" w:rsidRDefault="00132E6E" w:rsidP="009971A3">
      <w:pPr>
        <w:spacing w:line="360" w:lineRule="auto"/>
        <w:rPr>
          <w:rFonts w:ascii="Arial" w:hAnsi="Arial" w:cs="Arial"/>
          <w:sz w:val="18"/>
          <w:szCs w:val="18"/>
        </w:rPr>
      </w:pPr>
      <w:r>
        <w:rPr>
          <w:rFonts w:ascii="Arial" w:hAnsi="Arial" w:cs="Arial"/>
          <w:sz w:val="18"/>
          <w:szCs w:val="18"/>
        </w:rPr>
        <w:t>Em relação aos resultados apresentados as seguintes considerações, ao utilizar o critério determinístico, são pertinentes:</w:t>
      </w:r>
    </w:p>
    <w:p w:rsidR="00132E6E" w:rsidRDefault="00132E6E" w:rsidP="009971A3">
      <w:pPr>
        <w:spacing w:line="360" w:lineRule="auto"/>
        <w:rPr>
          <w:rFonts w:ascii="Arial" w:hAnsi="Arial" w:cs="Arial"/>
          <w:sz w:val="18"/>
          <w:szCs w:val="18"/>
        </w:rPr>
      </w:pPr>
    </w:p>
    <w:p w:rsidR="00594DCA" w:rsidRDefault="00132E6E" w:rsidP="009971A3">
      <w:pPr>
        <w:pStyle w:val="Ttulo3"/>
        <w:numPr>
          <w:ilvl w:val="0"/>
          <w:numId w:val="34"/>
        </w:numPr>
        <w:spacing w:line="360" w:lineRule="auto"/>
        <w:ind w:left="357" w:hanging="357"/>
        <w:jc w:val="both"/>
        <w:rPr>
          <w:rFonts w:cs="Arial"/>
          <w:sz w:val="18"/>
          <w:szCs w:val="18"/>
          <w14:shadow w14:blurRad="0" w14:dist="0" w14:dir="0" w14:sx="0" w14:sy="0" w14:kx="0" w14:ky="0" w14:algn="none">
            <w14:srgbClr w14:val="000000"/>
          </w14:shadow>
        </w:rPr>
      </w:pPr>
      <w:r>
        <w:rPr>
          <w:rFonts w:cs="Arial"/>
          <w:sz w:val="18"/>
          <w:szCs w:val="18"/>
          <w14:shadow w14:blurRad="0" w14:dist="0" w14:dir="0" w14:sx="0" w14:sy="0" w14:kx="0" w14:ky="0" w14:algn="none">
            <w14:srgbClr w14:val="000000"/>
          </w14:shadow>
        </w:rPr>
        <w:t>O subsistema sul representado pela configuração</w:t>
      </w:r>
      <w:r w:rsidR="00A05372">
        <w:rPr>
          <w:rFonts w:cs="Arial"/>
          <w:sz w:val="18"/>
          <w:szCs w:val="18"/>
          <w14:shadow w14:blurRad="0" w14:dist="0" w14:dir="0" w14:sx="0" w14:sy="0" w14:kx="0" w14:ky="0" w14:algn="none">
            <w14:srgbClr w14:val="000000"/>
          </w14:shadow>
        </w:rPr>
        <w:t xml:space="preserve"> puramente hidráulica</w:t>
      </w:r>
      <w:r>
        <w:rPr>
          <w:rFonts w:cs="Arial"/>
          <w:sz w:val="18"/>
          <w:szCs w:val="18"/>
          <w14:shadow w14:blurRad="0" w14:dist="0" w14:dir="0" w14:sx="0" w14:sy="0" w14:kx="0" w14:ky="0" w14:algn="none">
            <w14:srgbClr w14:val="000000"/>
          </w14:shadow>
        </w:rPr>
        <w:t xml:space="preserve"> de 1980 (Sul-80) </w:t>
      </w:r>
      <w:r w:rsidR="00A05372">
        <w:rPr>
          <w:rFonts w:cs="Arial"/>
          <w:sz w:val="18"/>
          <w:szCs w:val="18"/>
          <w14:shadow w14:blurRad="0" w14:dist="0" w14:dir="0" w14:sx="0" w14:sy="0" w14:kx="0" w14:ky="0" w14:algn="none">
            <w14:srgbClr w14:val="000000"/>
          </w14:shadow>
        </w:rPr>
        <w:t>apresentou uma menor regularização</w:t>
      </w:r>
      <w:r>
        <w:rPr>
          <w:rFonts w:cs="Arial"/>
          <w:sz w:val="18"/>
          <w:szCs w:val="18"/>
          <w14:shadow w14:blurRad="0" w14:dist="0" w14:dir="0" w14:sx="0" w14:sy="0" w14:kx="0" w14:ky="0" w14:algn="none">
            <w14:srgbClr w14:val="000000"/>
          </w14:shadow>
        </w:rPr>
        <w:t xml:space="preserve"> quando comparado com SE-80. Isto pode ser visto a partir do elevado percentual, 77%, da </w:t>
      </w:r>
      <w:r w:rsidR="00A05372">
        <w:rPr>
          <w:rFonts w:cs="Arial"/>
          <w:sz w:val="18"/>
          <w:szCs w:val="18"/>
          <w14:shadow w14:blurRad="0" w14:dist="0" w14:dir="0" w14:sx="0" w14:sy="0" w14:kx="0" w14:ky="0" w14:algn="none">
            <w14:srgbClr w14:val="000000"/>
          </w14:shadow>
        </w:rPr>
        <w:t>energia secundária hidráulica (ESH)</w:t>
      </w:r>
      <w:r w:rsidR="00634648" w:rsidRPr="00634648">
        <w:rPr>
          <w:rFonts w:cs="Arial"/>
          <w:sz w:val="18"/>
          <w:szCs w:val="18"/>
          <w14:shadow w14:blurRad="0" w14:dist="0" w14:dir="0" w14:sx="0" w14:sy="0" w14:kx="0" w14:ky="0" w14:algn="none">
            <w14:srgbClr w14:val="000000"/>
          </w14:shadow>
        </w:rPr>
        <w:t xml:space="preserve"> </w:t>
      </w:r>
      <w:r w:rsidR="00A05372">
        <w:rPr>
          <w:rFonts w:cs="Arial"/>
          <w:sz w:val="18"/>
          <w:szCs w:val="18"/>
          <w14:shadow w14:blurRad="0" w14:dist="0" w14:dir="0" w14:sx="0" w14:sy="0" w14:kx="0" w14:ky="0" w14:algn="none">
            <w14:srgbClr w14:val="000000"/>
          </w14:shadow>
        </w:rPr>
        <w:t>em relação a energia firme hidráulica (EFH), enquanto o subsistema sudeste é bem mais regularizado (22%). A capacidade de armazenagem de energia</w:t>
      </w:r>
      <w:r w:rsidR="00594DCA">
        <w:rPr>
          <w:rFonts w:cs="Arial"/>
          <w:sz w:val="18"/>
          <w:szCs w:val="18"/>
          <w14:shadow w14:blurRad="0" w14:dist="0" w14:dir="0" w14:sx="0" w14:sy="0" w14:kx="0" w14:ky="0" w14:algn="none">
            <w14:srgbClr w14:val="000000"/>
          </w14:shadow>
        </w:rPr>
        <w:t xml:space="preserve"> foi de</w:t>
      </w:r>
      <w:r w:rsidR="00A05372">
        <w:rPr>
          <w:rFonts w:cs="Arial"/>
          <w:sz w:val="18"/>
          <w:szCs w:val="18"/>
          <w14:shadow w14:blurRad="0" w14:dist="0" w14:dir="0" w14:sx="0" w14:sy="0" w14:kx="0" w14:ky="0" w14:algn="none">
            <w14:srgbClr w14:val="000000"/>
          </w14:shadow>
        </w:rPr>
        <w:t xml:space="preserve"> </w:t>
      </w:r>
      <w:r w:rsidR="00594DCA">
        <w:rPr>
          <w:rFonts w:cs="Arial"/>
          <w:sz w:val="18"/>
          <w:szCs w:val="18"/>
          <w14:shadow w14:blurRad="0" w14:dist="0" w14:dir="0" w14:sx="0" w14:sy="0" w14:kx="0" w14:ky="0" w14:algn="none">
            <w14:srgbClr w14:val="000000"/>
          </w14:shadow>
        </w:rPr>
        <w:t xml:space="preserve">2,95 meses </w:t>
      </w:r>
      <w:r w:rsidR="00A05372">
        <w:rPr>
          <w:rFonts w:cs="Arial"/>
          <w:sz w:val="18"/>
          <w:szCs w:val="18"/>
          <w14:shadow w14:blurRad="0" w14:dist="0" w14:dir="0" w14:sx="0" w14:sy="0" w14:kx="0" w14:ky="0" w14:algn="none">
            <w14:srgbClr w14:val="000000"/>
          </w14:shadow>
        </w:rPr>
        <w:t xml:space="preserve">contra </w:t>
      </w:r>
      <w:r w:rsidR="00594DCA">
        <w:rPr>
          <w:rFonts w:cs="Arial"/>
          <w:sz w:val="18"/>
          <w:szCs w:val="18"/>
          <w14:shadow w14:blurRad="0" w14:dist="0" w14:dir="0" w14:sx="0" w14:sy="0" w14:kx="0" w14:ky="0" w14:algn="none">
            <w14:srgbClr w14:val="000000"/>
          </w14:shadow>
        </w:rPr>
        <w:t xml:space="preserve"> 5,43 meses do sudeste. Consequentemente, a parcela excedente da energia afluente com a energia firme hidráulica (EAF/EFH)  é menos acentuada em SES-80 do que Sul-80. Tais fator</w:t>
      </w:r>
      <w:r w:rsidR="009971A3">
        <w:rPr>
          <w:rFonts w:cs="Arial"/>
          <w:sz w:val="18"/>
          <w:szCs w:val="18"/>
          <w14:shadow w14:blurRad="0" w14:dist="0" w14:dir="0" w14:sx="0" w14:sy="0" w14:kx="0" w14:ky="0" w14:algn="none">
            <w14:srgbClr w14:val="000000"/>
          </w14:shadow>
        </w:rPr>
        <w:t>es</w:t>
      </w:r>
      <w:r w:rsidR="00594DCA">
        <w:rPr>
          <w:rFonts w:cs="Arial"/>
          <w:sz w:val="18"/>
          <w:szCs w:val="18"/>
          <w14:shadow w14:blurRad="0" w14:dist="0" w14:dir="0" w14:sx="0" w14:sy="0" w14:kx="0" w14:ky="0" w14:algn="none">
            <w14:srgbClr w14:val="000000"/>
          </w14:shadow>
        </w:rPr>
        <w:t xml:space="preserve"> proporcionarão , para a configuração do susbsistema sul, um período crítico menor;</w:t>
      </w:r>
    </w:p>
    <w:p w:rsidR="00594DCA" w:rsidRPr="00594DCA" w:rsidRDefault="00594DCA" w:rsidP="009971A3">
      <w:pPr>
        <w:spacing w:line="360" w:lineRule="auto"/>
      </w:pPr>
    </w:p>
    <w:p w:rsidR="00394A1B" w:rsidRDefault="00594DCA" w:rsidP="009971A3">
      <w:pPr>
        <w:pStyle w:val="Ttulo3"/>
        <w:numPr>
          <w:ilvl w:val="0"/>
          <w:numId w:val="34"/>
        </w:numPr>
        <w:spacing w:line="360" w:lineRule="auto"/>
        <w:ind w:left="357" w:hanging="357"/>
        <w:jc w:val="both"/>
        <w:rPr>
          <w:rFonts w:cs="Arial"/>
          <w:sz w:val="18"/>
          <w:szCs w:val="18"/>
          <w14:shadow w14:blurRad="0" w14:dist="0" w14:dir="0" w14:sx="0" w14:sy="0" w14:kx="0" w14:ky="0" w14:algn="none">
            <w14:srgbClr w14:val="000000"/>
          </w14:shadow>
        </w:rPr>
      </w:pPr>
      <w:r>
        <w:rPr>
          <w:rFonts w:cs="Arial"/>
          <w:sz w:val="18"/>
          <w:szCs w:val="18"/>
          <w14:shadow w14:blurRad="0" w14:dist="0" w14:dir="0" w14:sx="0" w14:sy="0" w14:kx="0" w14:ky="0" w14:algn="none">
            <w14:srgbClr w14:val="000000"/>
          </w14:shadow>
        </w:rPr>
        <w:lastRenderedPageBreak/>
        <w:t>Com a Interligação Sul-Sudeste-Centro Oeste o efeito da diversidade hidrológica</w:t>
      </w:r>
      <w:r w:rsidR="00394A1B">
        <w:rPr>
          <w:rFonts w:cs="Arial"/>
          <w:sz w:val="18"/>
          <w:szCs w:val="18"/>
          <w14:shadow w14:blurRad="0" w14:dist="0" w14:dir="0" w14:sx="0" w14:sy="0" w14:kx="0" w14:ky="0" w14:algn="none">
            <w14:srgbClr w14:val="000000"/>
          </w14:shadow>
        </w:rPr>
        <w:t xml:space="preserve"> repercute em todos os indicadores na hipótese de configuração puramente hidráulica.</w:t>
      </w:r>
      <w:r w:rsidR="00E6139F">
        <w:rPr>
          <w:rFonts w:cs="Arial"/>
          <w:sz w:val="18"/>
          <w:szCs w:val="18"/>
          <w14:shadow w14:blurRad="0" w14:dist="0" w14:dir="0" w14:sx="0" w14:sy="0" w14:kx="0" w14:ky="0" w14:algn="none">
            <w14:srgbClr w14:val="000000"/>
          </w14:shadow>
        </w:rPr>
        <w:t xml:space="preserve"> Pode também mostrar, embora não apresentado no presente texto, que a sazonalidade </w:t>
      </w:r>
      <w:r w:rsidR="009971A3">
        <w:rPr>
          <w:rFonts w:cs="Arial"/>
          <w:sz w:val="18"/>
          <w:szCs w:val="18"/>
          <w14:shadow w14:blurRad="0" w14:dist="0" w14:dir="0" w14:sx="0" w14:sy="0" w14:kx="0" w14:ky="0" w14:algn="none">
            <w14:srgbClr w14:val="000000"/>
          </w14:shadow>
        </w:rPr>
        <w:t>anual das energias afluentes foi</w:t>
      </w:r>
      <w:r w:rsidR="00E6139F">
        <w:rPr>
          <w:rFonts w:cs="Arial"/>
          <w:sz w:val="18"/>
          <w:szCs w:val="18"/>
          <w14:shadow w14:blurRad="0" w14:dist="0" w14:dir="0" w14:sx="0" w14:sy="0" w14:kx="0" w14:ky="0" w14:algn="none">
            <w14:srgbClr w14:val="000000"/>
          </w14:shadow>
        </w:rPr>
        <w:t xml:space="preserve"> se atenuando com a evolução do sistema.</w:t>
      </w:r>
    </w:p>
    <w:p w:rsidR="00394A1B" w:rsidRPr="00394A1B" w:rsidRDefault="00394A1B" w:rsidP="00394A1B"/>
    <w:p w:rsidR="004843A0" w:rsidRDefault="00594DCA" w:rsidP="009971A3">
      <w:pPr>
        <w:pStyle w:val="Ttulo3"/>
        <w:numPr>
          <w:ilvl w:val="0"/>
          <w:numId w:val="34"/>
        </w:numPr>
        <w:spacing w:line="360" w:lineRule="auto"/>
        <w:ind w:left="357" w:hanging="357"/>
        <w:jc w:val="both"/>
        <w:rPr>
          <w:rFonts w:cs="Arial"/>
          <w:sz w:val="18"/>
          <w:szCs w:val="18"/>
          <w14:shadow w14:blurRad="0" w14:dist="0" w14:dir="0" w14:sx="0" w14:sy="0" w14:kx="0" w14:ky="0" w14:algn="none">
            <w14:srgbClr w14:val="000000"/>
          </w14:shadow>
        </w:rPr>
      </w:pPr>
      <w:r>
        <w:rPr>
          <w:rFonts w:cs="Arial"/>
          <w:sz w:val="18"/>
          <w:szCs w:val="18"/>
          <w14:shadow w14:blurRad="0" w14:dist="0" w14:dir="0" w14:sx="0" w14:sy="0" w14:kx="0" w14:ky="0" w14:algn="none">
            <w14:srgbClr w14:val="000000"/>
          </w14:shadow>
        </w:rPr>
        <w:t xml:space="preserve">  </w:t>
      </w:r>
      <w:r w:rsidR="00394A1B">
        <w:rPr>
          <w:rFonts w:cs="Arial"/>
          <w:sz w:val="18"/>
          <w:szCs w:val="18"/>
          <w14:shadow w14:blurRad="0" w14:dist="0" w14:dir="0" w14:sx="0" w14:sy="0" w14:kx="0" w14:ky="0" w14:algn="none">
            <w14:srgbClr w14:val="000000"/>
          </w14:shadow>
        </w:rPr>
        <w:t xml:space="preserve">Num sistema hidrotérmico verifica-se uma grande importância para a Sul-80 dada a elevação de 86% quando comparada a EFH. Já a SE-80 as térmicas conseguem firmar a </w:t>
      </w:r>
      <w:r w:rsidR="00E6139F">
        <w:rPr>
          <w:rFonts w:cs="Arial"/>
          <w:sz w:val="18"/>
          <w:szCs w:val="18"/>
          <w14:shadow w14:blurRad="0" w14:dist="0" w14:dir="0" w14:sx="0" w14:sy="0" w14:kx="0" w14:ky="0" w14:algn="none">
            <w14:srgbClr w14:val="000000"/>
          </w14:shadow>
        </w:rPr>
        <w:t xml:space="preserve">maior parte da </w:t>
      </w:r>
      <w:r w:rsidR="00394A1B">
        <w:rPr>
          <w:rFonts w:cs="Arial"/>
          <w:sz w:val="18"/>
          <w:szCs w:val="18"/>
          <w14:shadow w14:blurRad="0" w14:dist="0" w14:dir="0" w14:sx="0" w14:sy="0" w14:kx="0" w14:ky="0" w14:algn="none">
            <w14:srgbClr w14:val="000000"/>
          </w14:shadow>
        </w:rPr>
        <w:t>energia secundária</w:t>
      </w:r>
      <w:r w:rsidR="00E6139F">
        <w:rPr>
          <w:rFonts w:cs="Arial"/>
          <w:sz w:val="18"/>
          <w:szCs w:val="18"/>
          <w14:shadow w14:blurRad="0" w14:dist="0" w14:dir="0" w14:sx="0" w14:sy="0" w14:kx="0" w14:ky="0" w14:algn="none">
            <w14:srgbClr w14:val="000000"/>
          </w14:shadow>
        </w:rPr>
        <w:t xml:space="preserve"> conforme apresentado pelo indicador (ESHT/ESH).</w:t>
      </w:r>
    </w:p>
    <w:p w:rsidR="004843A0" w:rsidRPr="00634648" w:rsidRDefault="004843A0" w:rsidP="00B27FAA">
      <w:pPr>
        <w:pStyle w:val="Ttulo3"/>
        <w:jc w:val="left"/>
        <w:rPr>
          <w:rFonts w:cs="Arial"/>
          <w:sz w:val="18"/>
          <w:szCs w:val="18"/>
          <w14:shadow w14:blurRad="0" w14:dist="0" w14:dir="0" w14:sx="0" w14:sy="0" w14:kx="0" w14:ky="0" w14:algn="none">
            <w14:srgbClr w14:val="000000"/>
          </w14:shadow>
        </w:rPr>
      </w:pPr>
    </w:p>
    <w:p w:rsidR="00B27FAA" w:rsidRPr="00473A26" w:rsidRDefault="00473A26" w:rsidP="00473A26">
      <w:pPr>
        <w:pStyle w:val="Ttulo3"/>
        <w:jc w:val="left"/>
        <w:rPr>
          <w:sz w:val="18"/>
          <w:szCs w:val="18"/>
        </w:rPr>
      </w:pPr>
      <w:r w:rsidRPr="00473A26">
        <w:rPr>
          <w:sz w:val="18"/>
          <w:szCs w:val="18"/>
          <w14:shadow w14:blurRad="0" w14:dist="0" w14:dir="0" w14:sx="0" w14:sy="0" w14:kx="0" w14:ky="0" w14:algn="none">
            <w14:srgbClr w14:val="000000"/>
          </w14:shadow>
        </w:rPr>
        <w:t xml:space="preserve">3.1.2 </w:t>
      </w:r>
      <w:r w:rsidR="00701F66" w:rsidRPr="00473A26">
        <w:rPr>
          <w:sz w:val="18"/>
          <w:szCs w:val="18"/>
          <w:u w:val="single"/>
          <w14:shadow w14:blurRad="0" w14:dist="0" w14:dir="0" w14:sx="0" w14:sy="0" w14:kx="0" w14:ky="0" w14:algn="none">
            <w14:srgbClr w14:val="000000"/>
          </w14:shadow>
        </w:rPr>
        <w:t>Dimensionamento Energético Econômico de UHEs</w:t>
      </w:r>
    </w:p>
    <w:p w:rsidR="00E128F0" w:rsidRDefault="00E128F0" w:rsidP="006027B1">
      <w:pPr>
        <w:autoSpaceDE w:val="0"/>
        <w:autoSpaceDN w:val="0"/>
        <w:adjustRightInd w:val="0"/>
        <w:jc w:val="both"/>
        <w:rPr>
          <w:rFonts w:ascii="Arial" w:hAnsi="Arial" w:cs="Arial"/>
          <w:sz w:val="18"/>
          <w:szCs w:val="18"/>
        </w:rPr>
      </w:pPr>
    </w:p>
    <w:p w:rsidR="00701F66" w:rsidRDefault="00701F66" w:rsidP="009971A3">
      <w:pPr>
        <w:spacing w:line="360" w:lineRule="auto"/>
        <w:rPr>
          <w:rFonts w:ascii="Arial" w:hAnsi="Arial" w:cs="Arial"/>
          <w:sz w:val="18"/>
          <w:szCs w:val="18"/>
        </w:rPr>
      </w:pPr>
      <w:r w:rsidRPr="00701F66">
        <w:rPr>
          <w:rFonts w:ascii="Arial" w:hAnsi="Arial" w:cs="Arial"/>
          <w:sz w:val="18"/>
          <w:szCs w:val="18"/>
        </w:rPr>
        <w:t>Define os principais parâmetros de um aproveitamento hidrelétrico que tem influência direta no seu desempenho energético (</w:t>
      </w:r>
      <w:r>
        <w:rPr>
          <w:rFonts w:ascii="Arial" w:hAnsi="Arial" w:cs="Arial"/>
          <w:sz w:val="18"/>
          <w:szCs w:val="18"/>
        </w:rPr>
        <w:t>cf</w:t>
      </w:r>
      <w:r w:rsidR="009971A3">
        <w:rPr>
          <w:rFonts w:ascii="Arial" w:hAnsi="Arial" w:cs="Arial"/>
          <w:sz w:val="18"/>
          <w:szCs w:val="18"/>
        </w:rPr>
        <w:t>.</w:t>
      </w:r>
      <w:r>
        <w:rPr>
          <w:rFonts w:ascii="Arial" w:hAnsi="Arial" w:cs="Arial"/>
          <w:sz w:val="18"/>
          <w:szCs w:val="18"/>
        </w:rPr>
        <w:t xml:space="preserve"> </w:t>
      </w:r>
      <w:r w:rsidR="009971A3">
        <w:rPr>
          <w:rFonts w:ascii="Arial" w:hAnsi="Arial" w:cs="Arial"/>
          <w:sz w:val="18"/>
          <w:szCs w:val="18"/>
        </w:rPr>
        <w:t>6</w:t>
      </w:r>
      <w:r w:rsidRPr="00701F66">
        <w:rPr>
          <w:rFonts w:ascii="Arial" w:hAnsi="Arial" w:cs="Arial"/>
          <w:sz w:val="18"/>
          <w:szCs w:val="18"/>
        </w:rPr>
        <w:t>).</w:t>
      </w:r>
    </w:p>
    <w:p w:rsidR="00701F66" w:rsidRDefault="00701F66" w:rsidP="00701F66">
      <w:pPr>
        <w:rPr>
          <w:rFonts w:ascii="Arial" w:hAnsi="Arial" w:cs="Arial"/>
          <w:sz w:val="18"/>
          <w:szCs w:val="18"/>
        </w:rPr>
      </w:pPr>
    </w:p>
    <w:p w:rsidR="00701F66" w:rsidRPr="00701F66" w:rsidRDefault="00701F66" w:rsidP="00701F66">
      <w:pPr>
        <w:rPr>
          <w:rFonts w:ascii="Arial" w:hAnsi="Arial" w:cs="Arial"/>
          <w:sz w:val="18"/>
          <w:szCs w:val="18"/>
        </w:rPr>
      </w:pPr>
      <w:r w:rsidRPr="00701F66">
        <w:rPr>
          <w:rFonts w:ascii="Arial" w:hAnsi="Arial" w:cs="Arial"/>
          <w:sz w:val="18"/>
          <w:szCs w:val="18"/>
        </w:rPr>
        <w:t>3.1.</w:t>
      </w:r>
      <w:r w:rsidR="00473A26">
        <w:rPr>
          <w:rFonts w:ascii="Arial" w:hAnsi="Arial" w:cs="Arial"/>
          <w:sz w:val="18"/>
          <w:szCs w:val="18"/>
        </w:rPr>
        <w:t>3</w:t>
      </w:r>
      <w:r w:rsidRPr="00701F66">
        <w:rPr>
          <w:rFonts w:cs="Arial"/>
          <w:sz w:val="18"/>
          <w:szCs w:val="18"/>
        </w:rPr>
        <w:t xml:space="preserve"> </w:t>
      </w:r>
      <w:r>
        <w:rPr>
          <w:rFonts w:ascii="Arial" w:hAnsi="Arial" w:cs="Arial"/>
          <w:sz w:val="18"/>
          <w:szCs w:val="18"/>
          <w:u w:val="single"/>
        </w:rPr>
        <w:t>Custo Médio de Geração</w:t>
      </w:r>
      <w:r w:rsidR="00D10571">
        <w:rPr>
          <w:rFonts w:ascii="Arial" w:hAnsi="Arial" w:cs="Arial"/>
          <w:sz w:val="18"/>
          <w:szCs w:val="18"/>
          <w:u w:val="single"/>
        </w:rPr>
        <w:t xml:space="preserve"> (CGER)</w:t>
      </w:r>
    </w:p>
    <w:p w:rsidR="00701F66" w:rsidRDefault="00701F66" w:rsidP="006027B1">
      <w:pPr>
        <w:autoSpaceDE w:val="0"/>
        <w:autoSpaceDN w:val="0"/>
        <w:adjustRightInd w:val="0"/>
        <w:jc w:val="both"/>
        <w:rPr>
          <w:rFonts w:ascii="Arial" w:hAnsi="Arial" w:cs="Arial"/>
          <w:sz w:val="18"/>
          <w:szCs w:val="18"/>
        </w:rPr>
      </w:pPr>
    </w:p>
    <w:p w:rsidR="00D10571" w:rsidRDefault="00D10571" w:rsidP="009971A3">
      <w:pPr>
        <w:autoSpaceDE w:val="0"/>
        <w:autoSpaceDN w:val="0"/>
        <w:adjustRightInd w:val="0"/>
        <w:spacing w:line="360" w:lineRule="auto"/>
        <w:jc w:val="both"/>
        <w:rPr>
          <w:rFonts w:ascii="Arial" w:hAnsi="Arial" w:cs="Arial"/>
          <w:sz w:val="18"/>
          <w:szCs w:val="18"/>
        </w:rPr>
      </w:pPr>
      <w:r w:rsidRPr="00D10571">
        <w:rPr>
          <w:rFonts w:ascii="Arial" w:hAnsi="Arial" w:cs="Arial"/>
          <w:sz w:val="18"/>
          <w:szCs w:val="18"/>
        </w:rPr>
        <w:t>Também chamado de  Índice de Mérito ou Índice de Custo/Benefício, seu cálculo é proveniente da razão entre o somatório dos custos anuais ($/ano) incorridos e os ben</w:t>
      </w:r>
      <w:r>
        <w:rPr>
          <w:rFonts w:ascii="Arial" w:hAnsi="Arial" w:cs="Arial"/>
          <w:sz w:val="18"/>
          <w:szCs w:val="18"/>
        </w:rPr>
        <w:t>efícios energéticos (MWh/ano). Isto</w:t>
      </w:r>
      <w:r w:rsidRPr="00D10571">
        <w:rPr>
          <w:rFonts w:ascii="Arial" w:hAnsi="Arial" w:cs="Arial"/>
          <w:sz w:val="18"/>
          <w:szCs w:val="18"/>
        </w:rPr>
        <w:t xml:space="preserve"> resultar</w:t>
      </w:r>
      <w:r>
        <w:rPr>
          <w:rFonts w:ascii="Arial" w:hAnsi="Arial" w:cs="Arial"/>
          <w:sz w:val="18"/>
          <w:szCs w:val="18"/>
        </w:rPr>
        <w:t>á no custo de geração ($/MWh) de um</w:t>
      </w:r>
      <w:r w:rsidRPr="00D10571">
        <w:rPr>
          <w:rFonts w:ascii="Arial" w:hAnsi="Arial" w:cs="Arial"/>
          <w:sz w:val="18"/>
          <w:szCs w:val="18"/>
        </w:rPr>
        <w:t xml:space="preserve"> projeto.</w:t>
      </w:r>
    </w:p>
    <w:p w:rsidR="002226F9" w:rsidRDefault="002226F9" w:rsidP="009971A3">
      <w:pPr>
        <w:autoSpaceDE w:val="0"/>
        <w:autoSpaceDN w:val="0"/>
        <w:adjustRightInd w:val="0"/>
        <w:spacing w:line="360" w:lineRule="auto"/>
        <w:jc w:val="both"/>
        <w:rPr>
          <w:rFonts w:ascii="Arial" w:hAnsi="Arial" w:cs="Arial"/>
          <w:sz w:val="18"/>
          <w:szCs w:val="18"/>
        </w:rPr>
      </w:pPr>
    </w:p>
    <w:p w:rsidR="002226F9" w:rsidRDefault="002226F9" w:rsidP="009971A3">
      <w:pPr>
        <w:spacing w:line="360" w:lineRule="auto"/>
        <w:jc w:val="both"/>
        <w:rPr>
          <w:rFonts w:ascii="Arial" w:hAnsi="Arial" w:cs="Arial"/>
          <w:sz w:val="18"/>
          <w:szCs w:val="18"/>
        </w:rPr>
      </w:pPr>
      <w:r w:rsidRPr="002226F9">
        <w:rPr>
          <w:rFonts w:ascii="Arial" w:hAnsi="Arial" w:cs="Arial"/>
          <w:sz w:val="18"/>
          <w:szCs w:val="18"/>
        </w:rPr>
        <w:t>As parcelas que compõem os custos anuais são</w:t>
      </w:r>
      <w:r w:rsidR="00845FC4">
        <w:rPr>
          <w:rFonts w:ascii="Arial" w:hAnsi="Arial" w:cs="Arial"/>
          <w:sz w:val="18"/>
          <w:szCs w:val="18"/>
        </w:rPr>
        <w:t xml:space="preserve"> </w:t>
      </w:r>
      <w:r w:rsidRPr="002226F9">
        <w:rPr>
          <w:rFonts w:ascii="Arial" w:hAnsi="Arial" w:cs="Arial"/>
          <w:sz w:val="18"/>
          <w:szCs w:val="18"/>
        </w:rPr>
        <w:t>:</w:t>
      </w:r>
    </w:p>
    <w:p w:rsidR="002226F9" w:rsidRPr="002226F9" w:rsidRDefault="002226F9" w:rsidP="002226F9">
      <w:pPr>
        <w:jc w:val="both"/>
        <w:rPr>
          <w:rFonts w:ascii="Arial" w:hAnsi="Arial" w:cs="Arial"/>
          <w:sz w:val="18"/>
          <w:szCs w:val="18"/>
        </w:rPr>
      </w:pPr>
    </w:p>
    <w:p w:rsidR="002226F9" w:rsidRDefault="002226F9" w:rsidP="009971A3">
      <w:pPr>
        <w:numPr>
          <w:ilvl w:val="0"/>
          <w:numId w:val="28"/>
        </w:numPr>
        <w:spacing w:line="360" w:lineRule="auto"/>
        <w:ind w:left="357" w:hanging="357"/>
        <w:jc w:val="both"/>
        <w:rPr>
          <w:rFonts w:ascii="Arial" w:hAnsi="Arial" w:cs="Arial"/>
          <w:sz w:val="18"/>
          <w:szCs w:val="18"/>
        </w:rPr>
      </w:pPr>
      <w:r w:rsidRPr="002226F9">
        <w:rPr>
          <w:rFonts w:ascii="Arial" w:hAnsi="Arial" w:cs="Arial"/>
          <w:sz w:val="18"/>
          <w:szCs w:val="18"/>
        </w:rPr>
        <w:t>Custo Anual de Investimento na Usina (CAI) – valor obtido por intermédio da aplicação do fator de recuperação de capital sobre o investimento concentrado na data de entrada em operação do projeto, então:</w:t>
      </w:r>
    </w:p>
    <w:p w:rsidR="002226F9" w:rsidRPr="002226F9" w:rsidRDefault="002226F9" w:rsidP="002226F9">
      <w:pPr>
        <w:ind w:left="357"/>
        <w:jc w:val="both"/>
        <w:rPr>
          <w:rFonts w:ascii="Arial" w:hAnsi="Arial" w:cs="Arial"/>
          <w:sz w:val="18"/>
          <w:szCs w:val="18"/>
        </w:rPr>
      </w:pPr>
    </w:p>
    <w:p w:rsidR="002226F9" w:rsidRDefault="002226F9" w:rsidP="002226F9">
      <w:pPr>
        <w:jc w:val="both"/>
        <w:rPr>
          <w:rFonts w:ascii="Arial" w:hAnsi="Arial" w:cs="Arial"/>
          <w:sz w:val="18"/>
          <w:szCs w:val="18"/>
        </w:rPr>
      </w:pPr>
      <w:r w:rsidRPr="002226F9">
        <w:rPr>
          <w:rFonts w:ascii="Arial" w:hAnsi="Arial" w:cs="Arial"/>
          <w:sz w:val="18"/>
          <w:szCs w:val="18"/>
        </w:rPr>
        <w:t>CAI = ORC.(1+JDC).FRC(i,n)</w:t>
      </w:r>
    </w:p>
    <w:p w:rsidR="002226F9" w:rsidRPr="002226F9" w:rsidRDefault="002226F9" w:rsidP="002226F9">
      <w:pPr>
        <w:jc w:val="both"/>
        <w:rPr>
          <w:rFonts w:ascii="Arial" w:hAnsi="Arial" w:cs="Arial"/>
          <w:sz w:val="18"/>
          <w:szCs w:val="18"/>
        </w:rPr>
      </w:pPr>
    </w:p>
    <w:p w:rsidR="002226F9" w:rsidRDefault="002226F9" w:rsidP="002226F9">
      <w:pPr>
        <w:jc w:val="both"/>
        <w:rPr>
          <w:rFonts w:ascii="Arial" w:hAnsi="Arial" w:cs="Arial"/>
          <w:sz w:val="18"/>
          <w:szCs w:val="18"/>
        </w:rPr>
      </w:pPr>
      <w:r w:rsidRPr="002226F9">
        <w:rPr>
          <w:rFonts w:ascii="Arial" w:hAnsi="Arial" w:cs="Arial"/>
          <w:sz w:val="18"/>
          <w:szCs w:val="18"/>
        </w:rPr>
        <w:t>onde:</w:t>
      </w:r>
    </w:p>
    <w:p w:rsidR="002226F9" w:rsidRPr="002226F9" w:rsidRDefault="002226F9" w:rsidP="002226F9">
      <w:pPr>
        <w:jc w:val="both"/>
        <w:rPr>
          <w:rFonts w:ascii="Arial" w:hAnsi="Arial" w:cs="Arial"/>
          <w:sz w:val="18"/>
          <w:szCs w:val="18"/>
        </w:rPr>
      </w:pPr>
    </w:p>
    <w:p w:rsidR="002226F9" w:rsidRDefault="002226F9" w:rsidP="009971A3">
      <w:pPr>
        <w:spacing w:line="360" w:lineRule="auto"/>
        <w:jc w:val="both"/>
        <w:rPr>
          <w:rFonts w:ascii="Arial" w:hAnsi="Arial" w:cs="Arial"/>
          <w:sz w:val="18"/>
          <w:szCs w:val="18"/>
        </w:rPr>
      </w:pPr>
      <w:r w:rsidRPr="002226F9">
        <w:rPr>
          <w:rFonts w:ascii="Arial" w:hAnsi="Arial" w:cs="Arial"/>
          <w:sz w:val="18"/>
          <w:szCs w:val="18"/>
        </w:rPr>
        <w:t>ORC – orçamento do empreendimento, em milhões de $/ano, relacionados aos gastos dos vários componentes da usina (casa de força, equipamentos etc.), como também aos aspectos sócio-ambientais (desapropriações, indenizações, deslocamento de ferrovias e rodovias, etc.);</w:t>
      </w:r>
    </w:p>
    <w:p w:rsidR="002226F9" w:rsidRPr="002226F9" w:rsidRDefault="002226F9" w:rsidP="009971A3">
      <w:pPr>
        <w:spacing w:line="360" w:lineRule="auto"/>
        <w:jc w:val="both"/>
        <w:rPr>
          <w:rFonts w:ascii="Arial" w:hAnsi="Arial" w:cs="Arial"/>
          <w:sz w:val="18"/>
          <w:szCs w:val="18"/>
        </w:rPr>
      </w:pPr>
    </w:p>
    <w:p w:rsidR="002226F9" w:rsidRDefault="002226F9" w:rsidP="009971A3">
      <w:pPr>
        <w:spacing w:line="360" w:lineRule="auto"/>
        <w:jc w:val="both"/>
        <w:rPr>
          <w:rFonts w:ascii="Arial" w:hAnsi="Arial" w:cs="Arial"/>
          <w:sz w:val="18"/>
          <w:szCs w:val="18"/>
        </w:rPr>
      </w:pPr>
      <w:r w:rsidRPr="002226F9">
        <w:rPr>
          <w:rFonts w:ascii="Arial" w:hAnsi="Arial" w:cs="Arial"/>
          <w:sz w:val="18"/>
          <w:szCs w:val="18"/>
        </w:rPr>
        <w:t>JDC – juros durante a construção, referente ao capital ainda não remunerado, em per unit;</w:t>
      </w:r>
    </w:p>
    <w:p w:rsidR="002226F9" w:rsidRPr="002226F9" w:rsidRDefault="002226F9" w:rsidP="009971A3">
      <w:pPr>
        <w:spacing w:line="360" w:lineRule="auto"/>
        <w:jc w:val="both"/>
        <w:rPr>
          <w:rFonts w:ascii="Arial" w:hAnsi="Arial" w:cs="Arial"/>
          <w:sz w:val="18"/>
          <w:szCs w:val="18"/>
        </w:rPr>
      </w:pPr>
    </w:p>
    <w:p w:rsidR="002226F9" w:rsidRDefault="002226F9" w:rsidP="009971A3">
      <w:pPr>
        <w:autoSpaceDE w:val="0"/>
        <w:autoSpaceDN w:val="0"/>
        <w:adjustRightInd w:val="0"/>
        <w:spacing w:line="360" w:lineRule="auto"/>
        <w:jc w:val="both"/>
        <w:rPr>
          <w:rFonts w:ascii="Arial" w:hAnsi="Arial" w:cs="Arial"/>
          <w:sz w:val="18"/>
          <w:szCs w:val="18"/>
        </w:rPr>
      </w:pPr>
      <w:r w:rsidRPr="002226F9">
        <w:rPr>
          <w:rFonts w:ascii="Arial" w:hAnsi="Arial" w:cs="Arial"/>
          <w:sz w:val="18"/>
          <w:szCs w:val="18"/>
        </w:rPr>
        <w:t>FRC(i,n) – fator de recuperação do capital a uma taxa de desconto i e vida útil n</w:t>
      </w:r>
      <w:r>
        <w:rPr>
          <w:rFonts w:ascii="Arial" w:hAnsi="Arial" w:cs="Arial"/>
          <w:sz w:val="18"/>
          <w:szCs w:val="18"/>
        </w:rPr>
        <w:t>.</w:t>
      </w:r>
    </w:p>
    <w:p w:rsidR="002226F9" w:rsidRPr="002226F9" w:rsidRDefault="002226F9" w:rsidP="009971A3">
      <w:pPr>
        <w:numPr>
          <w:ilvl w:val="0"/>
          <w:numId w:val="29"/>
        </w:numPr>
        <w:spacing w:line="360" w:lineRule="auto"/>
        <w:jc w:val="both"/>
        <w:rPr>
          <w:rFonts w:ascii="Arial" w:hAnsi="Arial" w:cs="Arial"/>
          <w:sz w:val="18"/>
          <w:szCs w:val="18"/>
        </w:rPr>
      </w:pPr>
      <w:r w:rsidRPr="002226F9">
        <w:rPr>
          <w:rFonts w:ascii="Arial" w:hAnsi="Arial" w:cs="Arial"/>
          <w:sz w:val="18"/>
          <w:szCs w:val="18"/>
        </w:rPr>
        <w:t>Investimento Anual na Transmissão (IT) – custo associado à integração do projeto à malha de transmissão.</w:t>
      </w:r>
    </w:p>
    <w:p w:rsidR="002226F9" w:rsidRPr="002226F9" w:rsidRDefault="002226F9" w:rsidP="009971A3">
      <w:pPr>
        <w:spacing w:line="360" w:lineRule="auto"/>
        <w:rPr>
          <w:rFonts w:ascii="Arial" w:hAnsi="Arial" w:cs="Arial"/>
          <w:sz w:val="18"/>
          <w:szCs w:val="18"/>
        </w:rPr>
      </w:pPr>
      <w:r w:rsidRPr="002226F9">
        <w:rPr>
          <w:rFonts w:ascii="Arial" w:hAnsi="Arial" w:cs="Arial"/>
          <w:sz w:val="18"/>
          <w:szCs w:val="18"/>
        </w:rPr>
        <w:t>IT = ITR .(1+JDC). FRC(i,n)</w:t>
      </w:r>
    </w:p>
    <w:p w:rsidR="002226F9" w:rsidRPr="002226F9" w:rsidRDefault="002226F9" w:rsidP="009971A3">
      <w:pPr>
        <w:spacing w:line="360" w:lineRule="auto"/>
        <w:rPr>
          <w:rFonts w:ascii="Arial" w:hAnsi="Arial" w:cs="Arial"/>
          <w:sz w:val="18"/>
          <w:szCs w:val="18"/>
        </w:rPr>
      </w:pPr>
      <w:r w:rsidRPr="002226F9">
        <w:rPr>
          <w:rFonts w:ascii="Arial" w:hAnsi="Arial" w:cs="Arial"/>
          <w:sz w:val="18"/>
          <w:szCs w:val="18"/>
        </w:rPr>
        <w:t>ITR – investimento total de transmissão, em milhões de $/ano;</w:t>
      </w:r>
    </w:p>
    <w:p w:rsidR="00D10571" w:rsidRPr="002226F9" w:rsidRDefault="002226F9" w:rsidP="009971A3">
      <w:pPr>
        <w:autoSpaceDE w:val="0"/>
        <w:autoSpaceDN w:val="0"/>
        <w:adjustRightInd w:val="0"/>
        <w:spacing w:line="360" w:lineRule="auto"/>
        <w:jc w:val="both"/>
        <w:rPr>
          <w:rFonts w:ascii="Arial" w:hAnsi="Arial" w:cs="Arial"/>
          <w:sz w:val="18"/>
          <w:szCs w:val="18"/>
        </w:rPr>
      </w:pPr>
      <w:r w:rsidRPr="002226F9">
        <w:rPr>
          <w:rFonts w:ascii="Arial" w:hAnsi="Arial" w:cs="Arial"/>
          <w:sz w:val="18"/>
          <w:szCs w:val="18"/>
        </w:rPr>
        <w:t>As demais variáveis já foram descritas anteriormente.</w:t>
      </w:r>
    </w:p>
    <w:p w:rsidR="002226F9" w:rsidRDefault="002226F9" w:rsidP="006027B1">
      <w:pPr>
        <w:autoSpaceDE w:val="0"/>
        <w:autoSpaceDN w:val="0"/>
        <w:adjustRightInd w:val="0"/>
        <w:jc w:val="both"/>
        <w:rPr>
          <w:rFonts w:ascii="Arial" w:hAnsi="Arial" w:cs="Arial"/>
          <w:sz w:val="18"/>
          <w:szCs w:val="18"/>
        </w:rPr>
      </w:pPr>
    </w:p>
    <w:p w:rsidR="002226F9" w:rsidRDefault="002226F9" w:rsidP="009971A3">
      <w:pPr>
        <w:numPr>
          <w:ilvl w:val="0"/>
          <w:numId w:val="30"/>
        </w:numPr>
        <w:spacing w:line="360" w:lineRule="auto"/>
        <w:ind w:left="0" w:firstLine="0"/>
        <w:jc w:val="both"/>
        <w:rPr>
          <w:rFonts w:ascii="Arial" w:hAnsi="Arial" w:cs="Arial"/>
          <w:sz w:val="18"/>
          <w:szCs w:val="18"/>
        </w:rPr>
      </w:pPr>
      <w:r w:rsidRPr="002226F9">
        <w:rPr>
          <w:rFonts w:ascii="Arial" w:hAnsi="Arial" w:cs="Arial"/>
          <w:sz w:val="18"/>
          <w:szCs w:val="18"/>
        </w:rPr>
        <w:t>Custo Anual de Operação e Manutenção (CAO&amp;M) – custo composto por mão de obra, incluindo encargos sociais, materiais, serviços contratados, supervisão, taxa de administração, etc, durante a vida útil do empreendimento.</w:t>
      </w:r>
    </w:p>
    <w:p w:rsidR="002226F9" w:rsidRPr="002226F9" w:rsidRDefault="002226F9" w:rsidP="009971A3">
      <w:pPr>
        <w:spacing w:line="360" w:lineRule="auto"/>
        <w:ind w:left="360"/>
        <w:jc w:val="both"/>
        <w:rPr>
          <w:rFonts w:ascii="Arial" w:hAnsi="Arial" w:cs="Arial"/>
          <w:sz w:val="18"/>
          <w:szCs w:val="18"/>
        </w:rPr>
      </w:pPr>
    </w:p>
    <w:p w:rsidR="002226F9" w:rsidRDefault="002226F9" w:rsidP="009971A3">
      <w:pPr>
        <w:spacing w:line="360" w:lineRule="auto"/>
        <w:jc w:val="both"/>
        <w:rPr>
          <w:rFonts w:ascii="Arial" w:hAnsi="Arial" w:cs="Arial"/>
          <w:sz w:val="18"/>
          <w:szCs w:val="18"/>
        </w:rPr>
      </w:pPr>
      <w:r>
        <w:rPr>
          <w:rFonts w:ascii="Arial" w:hAnsi="Arial" w:cs="Arial"/>
          <w:sz w:val="18"/>
          <w:szCs w:val="18"/>
        </w:rPr>
        <w:t>No caso de UHE</w:t>
      </w:r>
      <w:r w:rsidRPr="002226F9">
        <w:rPr>
          <w:rFonts w:ascii="Arial" w:hAnsi="Arial" w:cs="Arial"/>
          <w:sz w:val="18"/>
          <w:szCs w:val="18"/>
        </w:rPr>
        <w:t>s o CAO&amp;M é determinado a partir da escolha entre duas curvas, obtidas por método de regressão sobre dados históricos de operação e manutenção de UHE’s existentes, que relacionam o Custo Unitário de Operação e Manutenção-CO&amp;M ($/kW/ano) com a potência instalada, sendo expressas por:</w:t>
      </w:r>
    </w:p>
    <w:p w:rsidR="002226F9" w:rsidRPr="002226F9" w:rsidRDefault="002226F9" w:rsidP="002226F9">
      <w:pPr>
        <w:rPr>
          <w:rFonts w:ascii="Arial" w:hAnsi="Arial" w:cs="Arial"/>
          <w:sz w:val="18"/>
          <w:szCs w:val="18"/>
        </w:rPr>
      </w:pPr>
    </w:p>
    <w:p w:rsidR="002226F9" w:rsidRDefault="002226F9" w:rsidP="002226F9">
      <w:pPr>
        <w:rPr>
          <w:rFonts w:ascii="Arial" w:hAnsi="Arial" w:cs="Arial"/>
          <w:sz w:val="18"/>
          <w:szCs w:val="18"/>
        </w:rPr>
      </w:pPr>
      <w:r w:rsidRPr="002226F9">
        <w:rPr>
          <w:rFonts w:ascii="Arial" w:hAnsi="Arial" w:cs="Arial"/>
          <w:sz w:val="18"/>
          <w:szCs w:val="18"/>
        </w:rPr>
        <w:t>C</w:t>
      </w:r>
      <w:r w:rsidRPr="002226F9">
        <w:rPr>
          <w:rFonts w:ascii="Arial" w:hAnsi="Arial" w:cs="Arial"/>
          <w:sz w:val="18"/>
          <w:szCs w:val="18"/>
          <w:vertAlign w:val="subscript"/>
        </w:rPr>
        <w:t>1</w:t>
      </w:r>
      <w:r w:rsidRPr="002226F9">
        <w:rPr>
          <w:rFonts w:ascii="Arial" w:hAnsi="Arial" w:cs="Arial"/>
          <w:sz w:val="18"/>
          <w:szCs w:val="18"/>
        </w:rPr>
        <w:t xml:space="preserve"> = a . P</w:t>
      </w:r>
      <w:r w:rsidRPr="002226F9">
        <w:rPr>
          <w:rFonts w:ascii="Arial" w:hAnsi="Arial" w:cs="Arial"/>
          <w:sz w:val="18"/>
          <w:szCs w:val="18"/>
          <w:vertAlign w:val="superscript"/>
        </w:rPr>
        <w:t>b</w:t>
      </w:r>
      <w:r w:rsidRPr="002226F9">
        <w:rPr>
          <w:rFonts w:ascii="Arial" w:hAnsi="Arial" w:cs="Arial"/>
          <w:sz w:val="18"/>
          <w:szCs w:val="18"/>
        </w:rPr>
        <w:t>, para P &lt; P</w:t>
      </w:r>
      <w:r w:rsidRPr="002226F9">
        <w:rPr>
          <w:rFonts w:ascii="Arial" w:hAnsi="Arial" w:cs="Arial"/>
          <w:sz w:val="18"/>
          <w:szCs w:val="18"/>
          <w:vertAlign w:val="subscript"/>
        </w:rPr>
        <w:t>c</w:t>
      </w:r>
    </w:p>
    <w:p w:rsidR="002226F9" w:rsidRPr="002226F9" w:rsidRDefault="002226F9" w:rsidP="002226F9">
      <w:pPr>
        <w:rPr>
          <w:rFonts w:ascii="Arial" w:hAnsi="Arial" w:cs="Arial"/>
          <w:sz w:val="18"/>
          <w:szCs w:val="18"/>
        </w:rPr>
      </w:pPr>
    </w:p>
    <w:p w:rsidR="002226F9" w:rsidRDefault="002226F9" w:rsidP="002226F9">
      <w:pPr>
        <w:rPr>
          <w:rFonts w:ascii="Arial" w:hAnsi="Arial" w:cs="Arial"/>
          <w:sz w:val="18"/>
          <w:szCs w:val="18"/>
          <w:vertAlign w:val="subscript"/>
        </w:rPr>
      </w:pPr>
      <w:r w:rsidRPr="002226F9">
        <w:rPr>
          <w:rFonts w:ascii="Arial" w:hAnsi="Arial" w:cs="Arial"/>
          <w:sz w:val="18"/>
          <w:szCs w:val="18"/>
        </w:rPr>
        <w:t>C</w:t>
      </w:r>
      <w:r w:rsidRPr="002226F9">
        <w:rPr>
          <w:rFonts w:ascii="Arial" w:hAnsi="Arial" w:cs="Arial"/>
          <w:sz w:val="18"/>
          <w:szCs w:val="18"/>
          <w:vertAlign w:val="subscript"/>
        </w:rPr>
        <w:t>2</w:t>
      </w:r>
      <w:r w:rsidRPr="002226F9">
        <w:rPr>
          <w:rFonts w:ascii="Arial" w:hAnsi="Arial" w:cs="Arial"/>
          <w:sz w:val="18"/>
          <w:szCs w:val="18"/>
        </w:rPr>
        <w:t xml:space="preserve"> = c . P</w:t>
      </w:r>
      <w:r w:rsidRPr="002226F9">
        <w:rPr>
          <w:rFonts w:ascii="Arial" w:hAnsi="Arial" w:cs="Arial"/>
          <w:sz w:val="18"/>
          <w:szCs w:val="18"/>
          <w:vertAlign w:val="superscript"/>
        </w:rPr>
        <w:t>d</w:t>
      </w:r>
      <w:r w:rsidRPr="002226F9">
        <w:rPr>
          <w:rFonts w:ascii="Arial" w:hAnsi="Arial" w:cs="Arial"/>
          <w:sz w:val="18"/>
          <w:szCs w:val="18"/>
        </w:rPr>
        <w:t xml:space="preserve">, para P </w:t>
      </w:r>
      <w:r w:rsidRPr="002226F9">
        <w:rPr>
          <w:rFonts w:ascii="Arial" w:hAnsi="Arial" w:cs="Arial"/>
          <w:sz w:val="18"/>
          <w:szCs w:val="18"/>
        </w:rPr>
        <w:sym w:font="Symbol" w:char="F0B3"/>
      </w:r>
      <w:r w:rsidRPr="002226F9">
        <w:rPr>
          <w:rFonts w:ascii="Arial" w:hAnsi="Arial" w:cs="Arial"/>
          <w:sz w:val="18"/>
          <w:szCs w:val="18"/>
        </w:rPr>
        <w:t xml:space="preserve"> P</w:t>
      </w:r>
      <w:r w:rsidRPr="002226F9">
        <w:rPr>
          <w:rFonts w:ascii="Arial" w:hAnsi="Arial" w:cs="Arial"/>
          <w:sz w:val="18"/>
          <w:szCs w:val="18"/>
          <w:vertAlign w:val="subscript"/>
        </w:rPr>
        <w:t>c</w:t>
      </w:r>
    </w:p>
    <w:p w:rsidR="002226F9" w:rsidRPr="002226F9" w:rsidRDefault="002226F9" w:rsidP="002226F9">
      <w:pPr>
        <w:rPr>
          <w:rFonts w:ascii="Arial" w:hAnsi="Arial" w:cs="Arial"/>
          <w:sz w:val="18"/>
          <w:szCs w:val="18"/>
        </w:rPr>
      </w:pPr>
    </w:p>
    <w:p w:rsidR="002226F9" w:rsidRPr="002226F9" w:rsidRDefault="002226F9" w:rsidP="002226F9">
      <w:pPr>
        <w:rPr>
          <w:rFonts w:ascii="Arial" w:hAnsi="Arial" w:cs="Arial"/>
          <w:sz w:val="18"/>
          <w:szCs w:val="18"/>
        </w:rPr>
      </w:pPr>
      <w:r w:rsidRPr="002226F9">
        <w:rPr>
          <w:rFonts w:ascii="Arial" w:hAnsi="Arial" w:cs="Arial"/>
          <w:sz w:val="18"/>
          <w:szCs w:val="18"/>
        </w:rPr>
        <w:t>onde:</w:t>
      </w:r>
    </w:p>
    <w:p w:rsidR="002226F9" w:rsidRPr="002226F9" w:rsidRDefault="002226F9" w:rsidP="002226F9">
      <w:pPr>
        <w:rPr>
          <w:rFonts w:ascii="Arial" w:hAnsi="Arial" w:cs="Arial"/>
          <w:sz w:val="18"/>
          <w:szCs w:val="18"/>
        </w:rPr>
      </w:pPr>
    </w:p>
    <w:p w:rsidR="002226F9" w:rsidRPr="002226F9" w:rsidRDefault="002226F9" w:rsidP="009971A3">
      <w:pPr>
        <w:spacing w:line="360" w:lineRule="auto"/>
        <w:jc w:val="both"/>
        <w:rPr>
          <w:rFonts w:ascii="Arial" w:hAnsi="Arial" w:cs="Arial"/>
          <w:sz w:val="18"/>
          <w:szCs w:val="18"/>
        </w:rPr>
      </w:pPr>
      <w:r w:rsidRPr="002226F9">
        <w:rPr>
          <w:rFonts w:ascii="Arial" w:hAnsi="Arial" w:cs="Arial"/>
          <w:sz w:val="18"/>
          <w:szCs w:val="18"/>
        </w:rPr>
        <w:t xml:space="preserve">a, b, c, </w:t>
      </w:r>
      <w:r>
        <w:rPr>
          <w:rFonts w:ascii="Arial" w:hAnsi="Arial" w:cs="Arial"/>
          <w:sz w:val="18"/>
          <w:szCs w:val="18"/>
        </w:rPr>
        <w:t>d – parâmetros determinados por</w:t>
      </w:r>
      <w:r w:rsidRPr="002226F9">
        <w:rPr>
          <w:rFonts w:ascii="Arial" w:hAnsi="Arial" w:cs="Arial"/>
          <w:sz w:val="18"/>
          <w:szCs w:val="18"/>
        </w:rPr>
        <w:t xml:space="preserve"> regressão</w:t>
      </w:r>
      <w:r w:rsidR="009971A3">
        <w:rPr>
          <w:rFonts w:ascii="Arial" w:hAnsi="Arial" w:cs="Arial"/>
          <w:sz w:val="18"/>
          <w:szCs w:val="18"/>
        </w:rPr>
        <w:t>;</w:t>
      </w:r>
    </w:p>
    <w:p w:rsidR="002226F9" w:rsidRDefault="002226F9" w:rsidP="009971A3">
      <w:pPr>
        <w:spacing w:line="360" w:lineRule="auto"/>
        <w:jc w:val="both"/>
        <w:rPr>
          <w:rFonts w:ascii="Arial" w:hAnsi="Arial" w:cs="Arial"/>
          <w:sz w:val="18"/>
          <w:szCs w:val="18"/>
        </w:rPr>
      </w:pPr>
      <w:r w:rsidRPr="002226F9">
        <w:rPr>
          <w:rFonts w:ascii="Arial" w:hAnsi="Arial" w:cs="Arial"/>
          <w:sz w:val="18"/>
          <w:szCs w:val="18"/>
        </w:rPr>
        <w:t>P – Potência Instalada, em MW;</w:t>
      </w:r>
    </w:p>
    <w:p w:rsidR="002226F9" w:rsidRPr="002226F9" w:rsidRDefault="002226F9" w:rsidP="009971A3">
      <w:pPr>
        <w:spacing w:line="360" w:lineRule="auto"/>
        <w:jc w:val="both"/>
        <w:rPr>
          <w:rFonts w:ascii="Arial" w:hAnsi="Arial" w:cs="Arial"/>
          <w:sz w:val="18"/>
          <w:szCs w:val="18"/>
        </w:rPr>
      </w:pPr>
    </w:p>
    <w:p w:rsidR="002226F9" w:rsidRDefault="002226F9" w:rsidP="009971A3">
      <w:pPr>
        <w:spacing w:line="360" w:lineRule="auto"/>
        <w:jc w:val="both"/>
        <w:rPr>
          <w:rFonts w:ascii="Arial" w:hAnsi="Arial" w:cs="Arial"/>
          <w:sz w:val="18"/>
          <w:szCs w:val="18"/>
        </w:rPr>
      </w:pPr>
      <w:r w:rsidRPr="002226F9">
        <w:rPr>
          <w:rFonts w:ascii="Arial" w:hAnsi="Arial" w:cs="Arial"/>
          <w:sz w:val="18"/>
          <w:szCs w:val="18"/>
        </w:rPr>
        <w:t>P</w:t>
      </w:r>
      <w:r w:rsidRPr="002226F9">
        <w:rPr>
          <w:rFonts w:ascii="Arial" w:hAnsi="Arial" w:cs="Arial"/>
          <w:sz w:val="18"/>
          <w:szCs w:val="18"/>
          <w:vertAlign w:val="subscript"/>
        </w:rPr>
        <w:t>c</w:t>
      </w:r>
      <w:r w:rsidRPr="002226F9">
        <w:rPr>
          <w:rFonts w:ascii="Arial" w:hAnsi="Arial" w:cs="Arial"/>
          <w:sz w:val="18"/>
          <w:szCs w:val="18"/>
        </w:rPr>
        <w:t xml:space="preserve"> – Ponto de Corte;</w:t>
      </w:r>
    </w:p>
    <w:p w:rsidR="002226F9" w:rsidRPr="002226F9" w:rsidRDefault="002226F9" w:rsidP="009971A3">
      <w:pPr>
        <w:spacing w:line="360" w:lineRule="auto"/>
        <w:jc w:val="both"/>
        <w:rPr>
          <w:rFonts w:ascii="Arial" w:hAnsi="Arial" w:cs="Arial"/>
          <w:sz w:val="18"/>
          <w:szCs w:val="18"/>
        </w:rPr>
      </w:pPr>
    </w:p>
    <w:p w:rsidR="002226F9" w:rsidRPr="002226F9" w:rsidRDefault="002226F9" w:rsidP="009971A3">
      <w:pPr>
        <w:spacing w:line="360" w:lineRule="auto"/>
        <w:jc w:val="both"/>
        <w:rPr>
          <w:rFonts w:ascii="Arial" w:hAnsi="Arial" w:cs="Arial"/>
          <w:sz w:val="18"/>
          <w:szCs w:val="18"/>
        </w:rPr>
      </w:pPr>
      <w:r w:rsidRPr="002226F9">
        <w:rPr>
          <w:rFonts w:ascii="Arial" w:hAnsi="Arial" w:cs="Arial"/>
          <w:sz w:val="18"/>
          <w:szCs w:val="18"/>
        </w:rPr>
        <w:t xml:space="preserve">O Ponto de Corte indicará ao </w:t>
      </w:r>
      <w:r>
        <w:rPr>
          <w:rFonts w:ascii="Arial" w:hAnsi="Arial" w:cs="Arial"/>
          <w:sz w:val="18"/>
          <w:szCs w:val="18"/>
        </w:rPr>
        <w:t>analista</w:t>
      </w:r>
      <w:r w:rsidRPr="002226F9">
        <w:rPr>
          <w:rFonts w:ascii="Arial" w:hAnsi="Arial" w:cs="Arial"/>
          <w:sz w:val="18"/>
          <w:szCs w:val="18"/>
        </w:rPr>
        <w:t xml:space="preserve"> qual a curva que deve ser utilizada para determinada potência. Seu cálculo advém da igualdade entre as duas curvas, portanto:</w:t>
      </w:r>
    </w:p>
    <w:p w:rsidR="002226F9" w:rsidRDefault="002226F9" w:rsidP="009971A3">
      <w:pPr>
        <w:spacing w:line="360" w:lineRule="auto"/>
        <w:jc w:val="both"/>
        <w:rPr>
          <w:rFonts w:ascii="Arial" w:hAnsi="Arial" w:cs="Arial"/>
          <w:sz w:val="18"/>
          <w:szCs w:val="18"/>
          <w:vertAlign w:val="superscript"/>
        </w:rPr>
      </w:pPr>
      <w:r w:rsidRPr="002226F9">
        <w:rPr>
          <w:rFonts w:ascii="Arial" w:hAnsi="Arial" w:cs="Arial"/>
          <w:sz w:val="18"/>
          <w:szCs w:val="18"/>
        </w:rPr>
        <w:t>a . P</w:t>
      </w:r>
      <w:r w:rsidRPr="002226F9">
        <w:rPr>
          <w:rFonts w:ascii="Arial" w:hAnsi="Arial" w:cs="Arial"/>
          <w:sz w:val="18"/>
          <w:szCs w:val="18"/>
          <w:vertAlign w:val="superscript"/>
        </w:rPr>
        <w:t>b</w:t>
      </w:r>
      <w:r w:rsidRPr="002226F9">
        <w:rPr>
          <w:rFonts w:ascii="Arial" w:hAnsi="Arial" w:cs="Arial"/>
          <w:sz w:val="18"/>
          <w:szCs w:val="18"/>
        </w:rPr>
        <w:t xml:space="preserve"> = c . P</w:t>
      </w:r>
      <w:r w:rsidRPr="002226F9">
        <w:rPr>
          <w:rFonts w:ascii="Arial" w:hAnsi="Arial" w:cs="Arial"/>
          <w:sz w:val="18"/>
          <w:szCs w:val="18"/>
          <w:vertAlign w:val="superscript"/>
        </w:rPr>
        <w:t>d</w:t>
      </w:r>
    </w:p>
    <w:p w:rsidR="002226F9" w:rsidRPr="002226F9" w:rsidRDefault="002226F9" w:rsidP="009971A3">
      <w:pPr>
        <w:spacing w:line="360" w:lineRule="auto"/>
        <w:jc w:val="both"/>
        <w:rPr>
          <w:rFonts w:ascii="Arial" w:hAnsi="Arial" w:cs="Arial"/>
          <w:sz w:val="18"/>
          <w:szCs w:val="18"/>
        </w:rPr>
      </w:pPr>
    </w:p>
    <w:p w:rsidR="002226F9" w:rsidRPr="002226F9" w:rsidRDefault="002226F9" w:rsidP="009971A3">
      <w:pPr>
        <w:spacing w:line="360" w:lineRule="auto"/>
        <w:jc w:val="both"/>
        <w:rPr>
          <w:rFonts w:ascii="Arial" w:hAnsi="Arial" w:cs="Arial"/>
          <w:sz w:val="18"/>
          <w:szCs w:val="18"/>
        </w:rPr>
      </w:pPr>
      <w:r w:rsidRPr="002226F9">
        <w:rPr>
          <w:rFonts w:ascii="Arial" w:hAnsi="Arial" w:cs="Arial"/>
          <w:sz w:val="18"/>
          <w:szCs w:val="18"/>
        </w:rPr>
        <w:t>Aplicando logaritmo em ambos os membros e utilizando suas propriedades, obtém-se:</w:t>
      </w:r>
    </w:p>
    <w:p w:rsidR="00D8788B" w:rsidRDefault="002226F9" w:rsidP="009971A3">
      <w:pPr>
        <w:autoSpaceDE w:val="0"/>
        <w:autoSpaceDN w:val="0"/>
        <w:adjustRightInd w:val="0"/>
        <w:spacing w:line="360" w:lineRule="auto"/>
        <w:jc w:val="both"/>
        <w:rPr>
          <w:rFonts w:ascii="Arial" w:hAnsi="Arial" w:cs="Arial"/>
          <w:sz w:val="18"/>
          <w:szCs w:val="18"/>
        </w:rPr>
      </w:pPr>
      <w:r w:rsidRPr="002226F9">
        <w:rPr>
          <w:rFonts w:ascii="Arial" w:hAnsi="Arial" w:cs="Arial"/>
          <w:sz w:val="18"/>
          <w:szCs w:val="18"/>
        </w:rPr>
        <w:t>A multiplicação da Potência Instalada (em kW) pela curva escolhida (em $/kW/ano) resultará no CAO&amp;M (em milhões).</w:t>
      </w:r>
    </w:p>
    <w:p w:rsidR="009971A3" w:rsidRDefault="00E65268" w:rsidP="006027B1">
      <w:pPr>
        <w:autoSpaceDE w:val="0"/>
        <w:autoSpaceDN w:val="0"/>
        <w:adjustRightInd w:val="0"/>
        <w:jc w:val="both"/>
        <w:rPr>
          <w:rFonts w:ascii="Arial" w:hAnsi="Arial" w:cs="Arial"/>
          <w:sz w:val="18"/>
          <w:szCs w:val="18"/>
        </w:rPr>
      </w:pPr>
      <w:r>
        <w:rPr>
          <w:rFonts w:ascii="Arial" w:hAnsi="Arial" w:cs="Arial"/>
          <w:noProof/>
          <w:sz w:val="18"/>
          <w:szCs w:val="1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8" type="#_x0000_t75" style="position:absolute;left:0;text-align:left;margin-left:6.95pt;margin-top:3.35pt;width:70.2pt;height:48.6pt;z-index:251660288;mso-position-horizontal-relative:text;mso-position-vertical-relative:text" o:allowincell="f">
            <v:imagedata r:id="rId12" o:title=""/>
            <w10:wrap type="topAndBottom"/>
          </v:shape>
          <o:OLEObject Type="Embed" ProgID="Equation.3" ShapeID="_x0000_s1058" DrawAspect="Content" ObjectID="_1627418312" r:id="rId13"/>
        </w:object>
      </w:r>
    </w:p>
    <w:p w:rsidR="002226F9" w:rsidRPr="00D8788B" w:rsidRDefault="00D8788B" w:rsidP="009971A3">
      <w:pPr>
        <w:autoSpaceDE w:val="0"/>
        <w:autoSpaceDN w:val="0"/>
        <w:adjustRightInd w:val="0"/>
        <w:spacing w:line="360" w:lineRule="auto"/>
        <w:jc w:val="both"/>
        <w:rPr>
          <w:rFonts w:ascii="Arial" w:hAnsi="Arial" w:cs="Arial"/>
          <w:sz w:val="18"/>
          <w:szCs w:val="18"/>
        </w:rPr>
      </w:pPr>
      <w:r w:rsidRPr="00D8788B">
        <w:rPr>
          <w:rFonts w:ascii="Arial" w:hAnsi="Arial" w:cs="Arial"/>
          <w:sz w:val="18"/>
          <w:szCs w:val="18"/>
        </w:rPr>
        <w:t>Para as plantas térmicas o CO&amp;M é dividido numa  parcela  fixa e outra variável</w:t>
      </w:r>
      <w:r w:rsidRPr="00D8788B">
        <w:rPr>
          <w:rStyle w:val="Refdenotaderodap"/>
          <w:rFonts w:ascii="Arial" w:hAnsi="Arial" w:cs="Arial"/>
          <w:sz w:val="18"/>
          <w:szCs w:val="18"/>
        </w:rPr>
        <w:footnoteReference w:id="3"/>
      </w:r>
      <w:r w:rsidRPr="00D8788B">
        <w:rPr>
          <w:rFonts w:ascii="Arial" w:hAnsi="Arial" w:cs="Arial"/>
          <w:sz w:val="18"/>
          <w:szCs w:val="18"/>
        </w:rPr>
        <w:t>. O Custo Unitário de Operação e Manutenção Fixo – CO&amp;M</w:t>
      </w:r>
      <w:r w:rsidRPr="00D8788B">
        <w:rPr>
          <w:rFonts w:ascii="Arial" w:hAnsi="Arial" w:cs="Arial"/>
          <w:sz w:val="18"/>
          <w:szCs w:val="18"/>
          <w:vertAlign w:val="subscript"/>
        </w:rPr>
        <w:t>F</w:t>
      </w:r>
      <w:r w:rsidRPr="00D8788B">
        <w:rPr>
          <w:rFonts w:ascii="Arial" w:hAnsi="Arial" w:cs="Arial"/>
          <w:sz w:val="18"/>
          <w:szCs w:val="18"/>
        </w:rPr>
        <w:t xml:space="preserve"> ($/kW/ano) não depende do volume de produção, isto é, independente do fator de capacidade,  sendo função apenas do tamanho da planta. Já o Custo Unitário de Operação e Manutenção - CO&amp;M</w:t>
      </w:r>
      <w:r w:rsidRPr="00D8788B">
        <w:rPr>
          <w:rFonts w:ascii="Arial" w:hAnsi="Arial" w:cs="Arial"/>
          <w:sz w:val="18"/>
          <w:szCs w:val="18"/>
          <w:vertAlign w:val="subscript"/>
        </w:rPr>
        <w:t>V</w:t>
      </w:r>
      <w:r w:rsidRPr="00D8788B">
        <w:rPr>
          <w:rFonts w:ascii="Arial" w:hAnsi="Arial" w:cs="Arial"/>
          <w:sz w:val="18"/>
          <w:szCs w:val="18"/>
        </w:rPr>
        <w:t xml:space="preserve"> ($/MWh) varia diretamente com o consumo do combustível, durante a operação da planta.</w:t>
      </w:r>
    </w:p>
    <w:p w:rsidR="002226F9" w:rsidRDefault="002226F9" w:rsidP="009971A3">
      <w:pPr>
        <w:autoSpaceDE w:val="0"/>
        <w:autoSpaceDN w:val="0"/>
        <w:adjustRightInd w:val="0"/>
        <w:spacing w:line="360" w:lineRule="auto"/>
        <w:jc w:val="both"/>
        <w:rPr>
          <w:rFonts w:ascii="Arial" w:hAnsi="Arial" w:cs="Arial"/>
          <w:sz w:val="18"/>
          <w:szCs w:val="18"/>
        </w:rPr>
      </w:pPr>
    </w:p>
    <w:p w:rsidR="00D8788B" w:rsidRDefault="00D8788B" w:rsidP="009971A3">
      <w:pPr>
        <w:pStyle w:val="PargrafodaLista"/>
        <w:numPr>
          <w:ilvl w:val="0"/>
          <w:numId w:val="30"/>
        </w:numPr>
        <w:spacing w:line="360" w:lineRule="auto"/>
        <w:ind w:left="0" w:firstLine="0"/>
        <w:rPr>
          <w:rFonts w:ascii="Arial" w:hAnsi="Arial" w:cs="Arial"/>
          <w:sz w:val="18"/>
          <w:szCs w:val="18"/>
        </w:rPr>
      </w:pPr>
      <w:r w:rsidRPr="00D8788B">
        <w:rPr>
          <w:rFonts w:ascii="Arial" w:hAnsi="Arial" w:cs="Arial"/>
          <w:sz w:val="18"/>
          <w:szCs w:val="18"/>
        </w:rPr>
        <w:t>Custo Anual de Combustíveis (CAC) – são custos inerentes à UTE’s, relacionados à despesas anuais associadas ao consumo do combustível para operação da planta. Esse custo depende do seu rendimento e da forma de operação da usina no Sistema Interligado, se a ele estiver integrada. Portanto, tem-se a seguinte expressão:</w:t>
      </w:r>
    </w:p>
    <w:p w:rsidR="00D8788B" w:rsidRPr="00D8788B" w:rsidRDefault="00D8788B" w:rsidP="00D8788B">
      <w:pPr>
        <w:pStyle w:val="PargrafodaLista"/>
        <w:ind w:left="0"/>
        <w:rPr>
          <w:rFonts w:ascii="Arial" w:hAnsi="Arial" w:cs="Arial"/>
          <w:sz w:val="18"/>
          <w:szCs w:val="18"/>
        </w:rPr>
      </w:pPr>
    </w:p>
    <w:p w:rsidR="00D8788B" w:rsidRPr="00D8788B" w:rsidRDefault="00D8788B" w:rsidP="00D8788B">
      <w:pPr>
        <w:pStyle w:val="Cabealho"/>
        <w:spacing w:after="0"/>
        <w:jc w:val="left"/>
        <w:rPr>
          <w:rFonts w:ascii="Arial" w:hAnsi="Arial" w:cs="Arial"/>
          <w:b w:val="0"/>
          <w:sz w:val="18"/>
          <w:szCs w:val="18"/>
        </w:rPr>
      </w:pPr>
      <w:r w:rsidRPr="00D8788B">
        <w:rPr>
          <w:rFonts w:ascii="Arial" w:hAnsi="Arial" w:cs="Arial"/>
          <w:b w:val="0"/>
          <w:sz w:val="18"/>
          <w:szCs w:val="18"/>
          <w14:shadow w14:blurRad="0" w14:dist="0" w14:dir="0" w14:sx="0" w14:sy="0" w14:kx="0" w14:ky="0" w14:algn="none">
            <w14:srgbClr w14:val="000000"/>
          </w14:shadow>
        </w:rPr>
        <w:t>CAC = P*CC*FCesp</w:t>
      </w:r>
    </w:p>
    <w:p w:rsidR="00D8788B" w:rsidRDefault="00D8788B" w:rsidP="00D8788B">
      <w:pPr>
        <w:rPr>
          <w:rFonts w:ascii="Arial" w:hAnsi="Arial" w:cs="Arial"/>
          <w:sz w:val="18"/>
          <w:szCs w:val="18"/>
        </w:rPr>
      </w:pPr>
    </w:p>
    <w:p w:rsidR="00D8788B" w:rsidRDefault="00D8788B" w:rsidP="00D8788B">
      <w:pPr>
        <w:rPr>
          <w:rFonts w:ascii="Arial" w:hAnsi="Arial" w:cs="Arial"/>
          <w:sz w:val="18"/>
          <w:szCs w:val="18"/>
        </w:rPr>
      </w:pPr>
      <w:r w:rsidRPr="00D8788B">
        <w:rPr>
          <w:rFonts w:ascii="Arial" w:hAnsi="Arial" w:cs="Arial"/>
          <w:sz w:val="18"/>
          <w:szCs w:val="18"/>
        </w:rPr>
        <w:t>onde:</w:t>
      </w:r>
    </w:p>
    <w:p w:rsidR="00D8788B" w:rsidRPr="00D8788B" w:rsidRDefault="00D8788B" w:rsidP="00D8788B">
      <w:pPr>
        <w:rPr>
          <w:rFonts w:ascii="Arial" w:hAnsi="Arial" w:cs="Arial"/>
          <w:sz w:val="18"/>
          <w:szCs w:val="18"/>
        </w:rPr>
      </w:pPr>
    </w:p>
    <w:p w:rsidR="00D8788B" w:rsidRDefault="00D8788B" w:rsidP="00D8788B">
      <w:pPr>
        <w:rPr>
          <w:rFonts w:ascii="Arial" w:hAnsi="Arial" w:cs="Arial"/>
          <w:sz w:val="18"/>
          <w:szCs w:val="18"/>
        </w:rPr>
      </w:pPr>
      <w:r w:rsidRPr="00D8788B">
        <w:rPr>
          <w:rFonts w:ascii="Arial" w:hAnsi="Arial" w:cs="Arial"/>
          <w:sz w:val="18"/>
          <w:szCs w:val="18"/>
        </w:rPr>
        <w:t>CAC – Custo Anual de Combustível, em US$/MWh;</w:t>
      </w:r>
    </w:p>
    <w:p w:rsidR="00D8788B" w:rsidRPr="00D8788B" w:rsidRDefault="00D8788B" w:rsidP="00D8788B">
      <w:pPr>
        <w:rPr>
          <w:rFonts w:ascii="Arial" w:hAnsi="Arial" w:cs="Arial"/>
          <w:sz w:val="18"/>
          <w:szCs w:val="18"/>
        </w:rPr>
      </w:pPr>
    </w:p>
    <w:p w:rsidR="00D8788B" w:rsidRDefault="00D8788B" w:rsidP="00D8788B">
      <w:pPr>
        <w:rPr>
          <w:rFonts w:ascii="Arial" w:hAnsi="Arial" w:cs="Arial"/>
          <w:sz w:val="18"/>
          <w:szCs w:val="18"/>
        </w:rPr>
      </w:pPr>
      <w:r w:rsidRPr="00D8788B">
        <w:rPr>
          <w:rFonts w:ascii="Arial" w:hAnsi="Arial" w:cs="Arial"/>
          <w:sz w:val="18"/>
          <w:szCs w:val="18"/>
        </w:rPr>
        <w:lastRenderedPageBreak/>
        <w:t>CC – custo unitário de combustível utilizado na central térmica, em US$/MWh;</w:t>
      </w:r>
    </w:p>
    <w:p w:rsidR="00D8788B" w:rsidRPr="00D8788B" w:rsidRDefault="00D8788B" w:rsidP="00D8788B">
      <w:pPr>
        <w:rPr>
          <w:rFonts w:ascii="Arial" w:hAnsi="Arial" w:cs="Arial"/>
          <w:sz w:val="18"/>
          <w:szCs w:val="18"/>
        </w:rPr>
      </w:pPr>
    </w:p>
    <w:p w:rsidR="00D8788B" w:rsidRPr="00D8788B" w:rsidRDefault="00D8788B" w:rsidP="00D8788B">
      <w:pPr>
        <w:rPr>
          <w:rFonts w:ascii="Arial" w:hAnsi="Arial" w:cs="Arial"/>
          <w:sz w:val="18"/>
          <w:szCs w:val="18"/>
        </w:rPr>
      </w:pPr>
      <w:r w:rsidRPr="00D8788B">
        <w:rPr>
          <w:rFonts w:ascii="Arial" w:hAnsi="Arial" w:cs="Arial"/>
          <w:sz w:val="18"/>
          <w:szCs w:val="18"/>
        </w:rPr>
        <w:t>FCesp – fator de capacidade esperado, em per unit, sendo obtido a partir de modelo de simulação</w:t>
      </w:r>
      <w:r w:rsidRPr="00D8788B">
        <w:rPr>
          <w:rStyle w:val="Refdenotaderodap"/>
          <w:rFonts w:ascii="Arial" w:hAnsi="Arial" w:cs="Arial"/>
          <w:b/>
          <w:sz w:val="18"/>
          <w:szCs w:val="18"/>
        </w:rPr>
        <w:footnoteReference w:id="4"/>
      </w:r>
      <w:r w:rsidRPr="00D8788B">
        <w:rPr>
          <w:rFonts w:ascii="Arial" w:hAnsi="Arial" w:cs="Arial"/>
          <w:sz w:val="18"/>
          <w:szCs w:val="18"/>
        </w:rPr>
        <w:t>.</w:t>
      </w:r>
    </w:p>
    <w:p w:rsidR="00D8788B" w:rsidRDefault="00D8788B" w:rsidP="00D8788B">
      <w:pPr>
        <w:rPr>
          <w:rFonts w:ascii="Arial" w:hAnsi="Arial" w:cs="Arial"/>
          <w:sz w:val="18"/>
          <w:szCs w:val="18"/>
        </w:rPr>
      </w:pPr>
    </w:p>
    <w:p w:rsidR="00D8788B" w:rsidRPr="00845FC4" w:rsidRDefault="00D8788B" w:rsidP="00D8788B">
      <w:pPr>
        <w:rPr>
          <w:rFonts w:ascii="Arial" w:hAnsi="Arial" w:cs="Arial"/>
          <w:sz w:val="18"/>
          <w:szCs w:val="18"/>
        </w:rPr>
      </w:pPr>
      <w:r w:rsidRPr="00845FC4">
        <w:rPr>
          <w:rFonts w:ascii="Arial" w:hAnsi="Arial" w:cs="Arial"/>
          <w:sz w:val="18"/>
          <w:szCs w:val="18"/>
        </w:rPr>
        <w:t>O parâmetro CC é calculado segundo a seguinte expressão:</w:t>
      </w:r>
    </w:p>
    <w:p w:rsidR="00D8788B" w:rsidRPr="00845FC4" w:rsidRDefault="00E65268" w:rsidP="00D8788B">
      <w:pPr>
        <w:rPr>
          <w:rFonts w:ascii="Arial" w:hAnsi="Arial" w:cs="Arial"/>
          <w:sz w:val="18"/>
          <w:szCs w:val="18"/>
        </w:rPr>
      </w:pPr>
      <w:r>
        <w:rPr>
          <w:rFonts w:ascii="Arial" w:hAnsi="Arial" w:cs="Arial"/>
          <w:noProof/>
          <w:sz w:val="18"/>
          <w:szCs w:val="18"/>
        </w:rPr>
        <w:object w:dxaOrig="1440" w:dyaOrig="1440">
          <v:shape id="_x0000_s1059" type="#_x0000_t75" style="position:absolute;margin-left:8.65pt;margin-top:19.2pt;width:146.75pt;height:34.25pt;z-index:251662336;mso-position-horizontal:absolute;mso-position-horizontal-relative:text;mso-position-vertical:absolute;mso-position-vertical-relative:text" o:allowincell="f">
            <v:imagedata r:id="rId14" o:title=""/>
            <w10:wrap type="topAndBottom"/>
          </v:shape>
          <o:OLEObject Type="Embed" ProgID="Equation.3" ShapeID="_x0000_s1059" DrawAspect="Content" ObjectID="_1627418313" r:id="rId15"/>
        </w:object>
      </w:r>
    </w:p>
    <w:p w:rsidR="00D8788B" w:rsidRPr="00845FC4" w:rsidRDefault="00D8788B" w:rsidP="006027B1">
      <w:pPr>
        <w:autoSpaceDE w:val="0"/>
        <w:autoSpaceDN w:val="0"/>
        <w:adjustRightInd w:val="0"/>
        <w:jc w:val="both"/>
        <w:rPr>
          <w:rFonts w:ascii="Arial" w:hAnsi="Arial" w:cs="Arial"/>
          <w:sz w:val="18"/>
          <w:szCs w:val="18"/>
        </w:rPr>
      </w:pPr>
    </w:p>
    <w:p w:rsidR="00845FC4" w:rsidRDefault="00845FC4" w:rsidP="00845FC4">
      <w:pPr>
        <w:rPr>
          <w:rFonts w:ascii="Arial" w:hAnsi="Arial" w:cs="Arial"/>
          <w:sz w:val="18"/>
          <w:szCs w:val="18"/>
        </w:rPr>
      </w:pPr>
      <w:r w:rsidRPr="00845FC4">
        <w:rPr>
          <w:rFonts w:ascii="Arial" w:hAnsi="Arial" w:cs="Arial"/>
          <w:sz w:val="18"/>
          <w:szCs w:val="18"/>
        </w:rPr>
        <w:t>onde:</w:t>
      </w:r>
    </w:p>
    <w:p w:rsidR="00845FC4" w:rsidRPr="00845FC4" w:rsidRDefault="00845FC4" w:rsidP="00845FC4">
      <w:pPr>
        <w:rPr>
          <w:rFonts w:ascii="Arial" w:hAnsi="Arial" w:cs="Arial"/>
          <w:sz w:val="18"/>
          <w:szCs w:val="18"/>
        </w:rPr>
      </w:pPr>
    </w:p>
    <w:p w:rsidR="00845FC4" w:rsidRPr="00845FC4" w:rsidRDefault="00845FC4" w:rsidP="00845FC4">
      <w:pPr>
        <w:rPr>
          <w:rFonts w:ascii="Arial" w:hAnsi="Arial" w:cs="Arial"/>
          <w:sz w:val="18"/>
          <w:szCs w:val="18"/>
        </w:rPr>
      </w:pPr>
      <w:r w:rsidRPr="00845FC4">
        <w:rPr>
          <w:rFonts w:ascii="Arial" w:hAnsi="Arial" w:cs="Arial"/>
          <w:sz w:val="18"/>
          <w:szCs w:val="18"/>
        </w:rPr>
        <w:t>CComb – custo de combustível em $/ton (ou m</w:t>
      </w:r>
      <w:r w:rsidRPr="00845FC4">
        <w:rPr>
          <w:rFonts w:ascii="Arial" w:hAnsi="Arial" w:cs="Arial"/>
          <w:sz w:val="18"/>
          <w:szCs w:val="18"/>
          <w:vertAlign w:val="superscript"/>
        </w:rPr>
        <w:t>3</w:t>
      </w:r>
      <w:r w:rsidRPr="00845FC4">
        <w:rPr>
          <w:rFonts w:ascii="Arial" w:hAnsi="Arial" w:cs="Arial"/>
          <w:sz w:val="18"/>
          <w:szCs w:val="18"/>
        </w:rPr>
        <w:t>);</w:t>
      </w:r>
    </w:p>
    <w:p w:rsidR="00845FC4" w:rsidRPr="00845FC4" w:rsidRDefault="00845FC4" w:rsidP="00845FC4">
      <w:pPr>
        <w:rPr>
          <w:rFonts w:ascii="Arial" w:hAnsi="Arial" w:cs="Arial"/>
          <w:sz w:val="18"/>
          <w:szCs w:val="18"/>
        </w:rPr>
      </w:pPr>
    </w:p>
    <w:p w:rsidR="00845FC4" w:rsidRPr="00845FC4" w:rsidRDefault="00845FC4" w:rsidP="00845FC4">
      <w:pPr>
        <w:rPr>
          <w:rFonts w:ascii="Arial" w:hAnsi="Arial" w:cs="Arial"/>
          <w:sz w:val="18"/>
          <w:szCs w:val="18"/>
        </w:rPr>
      </w:pPr>
      <w:r w:rsidRPr="00845FC4">
        <w:rPr>
          <w:rFonts w:ascii="Arial" w:hAnsi="Arial" w:cs="Arial"/>
          <w:sz w:val="18"/>
          <w:szCs w:val="18"/>
        </w:rPr>
        <w:sym w:font="Symbol" w:char="F068"/>
      </w:r>
      <w:r w:rsidRPr="00845FC4">
        <w:rPr>
          <w:rFonts w:ascii="Arial" w:hAnsi="Arial" w:cs="Arial"/>
          <w:sz w:val="18"/>
          <w:szCs w:val="18"/>
        </w:rPr>
        <w:t xml:space="preserve"> - rendimento, em per unit;</w:t>
      </w:r>
    </w:p>
    <w:p w:rsidR="00845FC4" w:rsidRPr="00845FC4" w:rsidRDefault="00845FC4" w:rsidP="00845FC4">
      <w:pPr>
        <w:rPr>
          <w:rFonts w:ascii="Arial" w:hAnsi="Arial" w:cs="Arial"/>
          <w:sz w:val="18"/>
          <w:szCs w:val="18"/>
        </w:rPr>
      </w:pPr>
    </w:p>
    <w:p w:rsidR="00845FC4" w:rsidRPr="00845FC4" w:rsidRDefault="00845FC4" w:rsidP="00845FC4">
      <w:pPr>
        <w:rPr>
          <w:rFonts w:ascii="Arial" w:hAnsi="Arial" w:cs="Arial"/>
          <w:sz w:val="18"/>
          <w:szCs w:val="18"/>
        </w:rPr>
      </w:pPr>
      <w:r w:rsidRPr="00845FC4">
        <w:rPr>
          <w:rFonts w:ascii="Arial" w:hAnsi="Arial" w:cs="Arial"/>
          <w:sz w:val="18"/>
          <w:szCs w:val="18"/>
        </w:rPr>
        <w:t>PC – poder calorífico do combustível, em kcal/kg (ou m</w:t>
      </w:r>
      <w:r w:rsidRPr="00845FC4">
        <w:rPr>
          <w:rFonts w:ascii="Arial" w:hAnsi="Arial" w:cs="Arial"/>
          <w:sz w:val="18"/>
          <w:szCs w:val="18"/>
          <w:vertAlign w:val="superscript"/>
        </w:rPr>
        <w:t>3</w:t>
      </w:r>
      <w:r w:rsidRPr="00845FC4">
        <w:rPr>
          <w:rFonts w:ascii="Arial" w:hAnsi="Arial" w:cs="Arial"/>
          <w:sz w:val="18"/>
          <w:szCs w:val="18"/>
        </w:rPr>
        <w:t>);</w:t>
      </w:r>
    </w:p>
    <w:p w:rsidR="00845FC4" w:rsidRPr="00845FC4" w:rsidRDefault="00845FC4" w:rsidP="00845FC4">
      <w:pPr>
        <w:rPr>
          <w:rFonts w:ascii="Arial" w:hAnsi="Arial" w:cs="Arial"/>
          <w:sz w:val="18"/>
          <w:szCs w:val="18"/>
        </w:rPr>
      </w:pPr>
    </w:p>
    <w:p w:rsidR="00845FC4" w:rsidRPr="00845FC4" w:rsidRDefault="00845FC4" w:rsidP="00845FC4">
      <w:pPr>
        <w:autoSpaceDE w:val="0"/>
        <w:autoSpaceDN w:val="0"/>
        <w:adjustRightInd w:val="0"/>
        <w:jc w:val="both"/>
        <w:rPr>
          <w:rFonts w:ascii="Arial" w:hAnsi="Arial" w:cs="Arial"/>
          <w:sz w:val="18"/>
          <w:szCs w:val="18"/>
        </w:rPr>
      </w:pPr>
      <w:r w:rsidRPr="00845FC4">
        <w:rPr>
          <w:rFonts w:ascii="Arial" w:hAnsi="Arial" w:cs="Arial"/>
          <w:sz w:val="18"/>
          <w:szCs w:val="18"/>
        </w:rPr>
        <w:t>EE – equivalência energética para MWh.</w:t>
      </w:r>
    </w:p>
    <w:p w:rsidR="00845FC4" w:rsidRDefault="00845FC4" w:rsidP="00845FC4">
      <w:pPr>
        <w:autoSpaceDE w:val="0"/>
        <w:autoSpaceDN w:val="0"/>
        <w:adjustRightInd w:val="0"/>
        <w:jc w:val="both"/>
      </w:pPr>
    </w:p>
    <w:p w:rsidR="00845FC4" w:rsidRDefault="00845FC4" w:rsidP="009971A3">
      <w:pPr>
        <w:numPr>
          <w:ilvl w:val="0"/>
          <w:numId w:val="32"/>
        </w:numPr>
        <w:spacing w:line="360" w:lineRule="auto"/>
        <w:ind w:left="357" w:hanging="357"/>
        <w:jc w:val="both"/>
        <w:rPr>
          <w:rFonts w:ascii="Arial" w:hAnsi="Arial" w:cs="Arial"/>
          <w:sz w:val="18"/>
          <w:szCs w:val="18"/>
        </w:rPr>
      </w:pPr>
      <w:r w:rsidRPr="00845FC4">
        <w:rPr>
          <w:rFonts w:ascii="Arial" w:hAnsi="Arial" w:cs="Arial"/>
          <w:sz w:val="18"/>
          <w:szCs w:val="18"/>
        </w:rPr>
        <w:t>Custo correspondente à diferença de gastos com combustível (CDGC) – a integração de uma usina no sistema interligado brasileiro implica em mudanças na regra de operação das unidades térmicas, alterando assim os gastos com combustível</w:t>
      </w:r>
      <w:r w:rsidRPr="00845FC4">
        <w:rPr>
          <w:rStyle w:val="Refdenotaderodap"/>
          <w:rFonts w:ascii="Arial" w:hAnsi="Arial" w:cs="Arial"/>
          <w:sz w:val="18"/>
          <w:szCs w:val="18"/>
        </w:rPr>
        <w:footnoteReference w:id="5"/>
      </w:r>
      <w:r w:rsidRPr="00845FC4">
        <w:rPr>
          <w:rFonts w:ascii="Arial" w:hAnsi="Arial" w:cs="Arial"/>
          <w:sz w:val="18"/>
          <w:szCs w:val="18"/>
        </w:rPr>
        <w:t>. Caso seja uma UHE, haverá uma economia advinda do aumento de energia secundária. Pode-se então representar o CDGC pela seguinte expressão:</w:t>
      </w:r>
    </w:p>
    <w:p w:rsidR="00845FC4" w:rsidRPr="00845FC4" w:rsidRDefault="00845FC4" w:rsidP="00845FC4">
      <w:pPr>
        <w:ind w:left="357"/>
        <w:jc w:val="both"/>
        <w:rPr>
          <w:rFonts w:ascii="Arial" w:hAnsi="Arial" w:cs="Arial"/>
          <w:sz w:val="18"/>
          <w:szCs w:val="18"/>
        </w:rPr>
      </w:pPr>
    </w:p>
    <w:p w:rsidR="00845FC4" w:rsidRPr="00845FC4" w:rsidRDefault="00845FC4" w:rsidP="00845FC4">
      <w:pPr>
        <w:outlineLvl w:val="0"/>
        <w:rPr>
          <w:rFonts w:ascii="Arial" w:hAnsi="Arial" w:cs="Arial"/>
          <w:sz w:val="18"/>
          <w:szCs w:val="18"/>
          <w:vertAlign w:val="superscript"/>
        </w:rPr>
      </w:pPr>
      <w:r w:rsidRPr="00845FC4">
        <w:rPr>
          <w:rFonts w:ascii="Arial" w:hAnsi="Arial" w:cs="Arial"/>
          <w:sz w:val="18"/>
          <w:szCs w:val="18"/>
        </w:rPr>
        <w:t>CDGC = (GT</w:t>
      </w:r>
      <w:r w:rsidRPr="00845FC4">
        <w:rPr>
          <w:rFonts w:ascii="Arial" w:hAnsi="Arial" w:cs="Arial"/>
          <w:sz w:val="18"/>
          <w:szCs w:val="18"/>
          <w:vertAlign w:val="subscript"/>
        </w:rPr>
        <w:t>2</w:t>
      </w:r>
      <w:r w:rsidRPr="00845FC4">
        <w:rPr>
          <w:rFonts w:ascii="Arial" w:hAnsi="Arial" w:cs="Arial"/>
          <w:sz w:val="18"/>
          <w:szCs w:val="18"/>
        </w:rPr>
        <w:t xml:space="preserve"> – GT</w:t>
      </w:r>
      <w:r w:rsidRPr="00845FC4">
        <w:rPr>
          <w:rFonts w:ascii="Arial" w:hAnsi="Arial" w:cs="Arial"/>
          <w:sz w:val="18"/>
          <w:szCs w:val="18"/>
          <w:vertAlign w:val="subscript"/>
        </w:rPr>
        <w:t>1</w:t>
      </w:r>
      <w:r w:rsidRPr="00845FC4">
        <w:rPr>
          <w:rFonts w:ascii="Arial" w:hAnsi="Arial" w:cs="Arial"/>
          <w:sz w:val="18"/>
          <w:szCs w:val="18"/>
        </w:rPr>
        <w:t>).CC</w:t>
      </w:r>
      <w:r w:rsidRPr="00845FC4">
        <w:rPr>
          <w:rFonts w:ascii="Arial" w:hAnsi="Arial" w:cs="Arial"/>
          <w:sz w:val="18"/>
          <w:szCs w:val="18"/>
          <w:vertAlign w:val="superscript"/>
        </w:rPr>
        <w:t>’</w:t>
      </w:r>
    </w:p>
    <w:p w:rsidR="00845FC4" w:rsidRPr="00845FC4" w:rsidRDefault="00845FC4" w:rsidP="00845FC4">
      <w:pPr>
        <w:outlineLvl w:val="0"/>
        <w:rPr>
          <w:rFonts w:ascii="Arial" w:hAnsi="Arial" w:cs="Arial"/>
          <w:sz w:val="18"/>
          <w:szCs w:val="18"/>
          <w:vertAlign w:val="superscript"/>
        </w:rPr>
      </w:pPr>
    </w:p>
    <w:p w:rsidR="00845FC4" w:rsidRDefault="00845FC4" w:rsidP="00845FC4">
      <w:pPr>
        <w:outlineLvl w:val="0"/>
        <w:rPr>
          <w:rFonts w:ascii="Arial" w:hAnsi="Arial" w:cs="Arial"/>
          <w:sz w:val="18"/>
          <w:szCs w:val="18"/>
        </w:rPr>
      </w:pPr>
      <w:r w:rsidRPr="00845FC4">
        <w:rPr>
          <w:rFonts w:ascii="Arial" w:hAnsi="Arial" w:cs="Arial"/>
          <w:sz w:val="18"/>
          <w:szCs w:val="18"/>
        </w:rPr>
        <w:t>onde:</w:t>
      </w:r>
    </w:p>
    <w:p w:rsidR="00845FC4" w:rsidRPr="00845FC4" w:rsidRDefault="00845FC4" w:rsidP="00845FC4">
      <w:pPr>
        <w:outlineLvl w:val="0"/>
        <w:rPr>
          <w:rFonts w:ascii="Arial" w:hAnsi="Arial" w:cs="Arial"/>
          <w:sz w:val="18"/>
          <w:szCs w:val="18"/>
        </w:rPr>
      </w:pPr>
    </w:p>
    <w:p w:rsidR="00845FC4" w:rsidRPr="00845FC4" w:rsidRDefault="00845FC4" w:rsidP="00845FC4">
      <w:pPr>
        <w:rPr>
          <w:rFonts w:ascii="Arial" w:hAnsi="Arial" w:cs="Arial"/>
          <w:sz w:val="18"/>
          <w:szCs w:val="18"/>
        </w:rPr>
      </w:pPr>
      <w:r w:rsidRPr="00845FC4">
        <w:rPr>
          <w:rFonts w:ascii="Arial" w:hAnsi="Arial" w:cs="Arial"/>
          <w:sz w:val="18"/>
          <w:szCs w:val="18"/>
        </w:rPr>
        <w:t>CDGC – em milhões $/ano;</w:t>
      </w:r>
    </w:p>
    <w:p w:rsidR="00845FC4" w:rsidRPr="00845FC4" w:rsidRDefault="00845FC4" w:rsidP="00845FC4">
      <w:pPr>
        <w:rPr>
          <w:rFonts w:ascii="Arial" w:hAnsi="Arial" w:cs="Arial"/>
          <w:sz w:val="18"/>
          <w:szCs w:val="18"/>
        </w:rPr>
      </w:pPr>
    </w:p>
    <w:p w:rsidR="00845FC4" w:rsidRPr="00845FC4" w:rsidRDefault="00845FC4" w:rsidP="00845FC4">
      <w:pPr>
        <w:rPr>
          <w:rFonts w:ascii="Arial" w:hAnsi="Arial" w:cs="Arial"/>
          <w:sz w:val="18"/>
          <w:szCs w:val="18"/>
        </w:rPr>
      </w:pPr>
      <w:r w:rsidRPr="00845FC4">
        <w:rPr>
          <w:rFonts w:ascii="Arial" w:hAnsi="Arial" w:cs="Arial"/>
          <w:sz w:val="18"/>
          <w:szCs w:val="18"/>
        </w:rPr>
        <w:t>GT</w:t>
      </w:r>
      <w:r w:rsidRPr="00845FC4">
        <w:rPr>
          <w:rFonts w:ascii="Arial" w:hAnsi="Arial" w:cs="Arial"/>
          <w:sz w:val="18"/>
          <w:szCs w:val="18"/>
          <w:vertAlign w:val="subscript"/>
        </w:rPr>
        <w:t>2</w:t>
      </w:r>
      <w:r w:rsidRPr="00845FC4">
        <w:rPr>
          <w:rFonts w:ascii="Arial" w:hAnsi="Arial" w:cs="Arial"/>
          <w:sz w:val="18"/>
          <w:szCs w:val="18"/>
        </w:rPr>
        <w:t xml:space="preserve"> – consumo esperado de combustível com a usina no sistema, em MWh/ano;</w:t>
      </w:r>
    </w:p>
    <w:p w:rsidR="00845FC4" w:rsidRPr="00845FC4" w:rsidRDefault="00845FC4" w:rsidP="00845FC4">
      <w:pPr>
        <w:rPr>
          <w:rFonts w:ascii="Arial" w:hAnsi="Arial" w:cs="Arial"/>
          <w:sz w:val="18"/>
          <w:szCs w:val="18"/>
        </w:rPr>
      </w:pPr>
    </w:p>
    <w:p w:rsidR="00845FC4" w:rsidRPr="00845FC4" w:rsidRDefault="00845FC4" w:rsidP="00845FC4">
      <w:pPr>
        <w:rPr>
          <w:rFonts w:ascii="Arial" w:hAnsi="Arial" w:cs="Arial"/>
          <w:sz w:val="18"/>
          <w:szCs w:val="18"/>
        </w:rPr>
      </w:pPr>
      <w:r w:rsidRPr="00845FC4">
        <w:rPr>
          <w:rFonts w:ascii="Arial" w:hAnsi="Arial" w:cs="Arial"/>
          <w:sz w:val="18"/>
          <w:szCs w:val="18"/>
        </w:rPr>
        <w:t>GT</w:t>
      </w:r>
      <w:r w:rsidRPr="00845FC4">
        <w:rPr>
          <w:rFonts w:ascii="Arial" w:hAnsi="Arial" w:cs="Arial"/>
          <w:sz w:val="18"/>
          <w:szCs w:val="18"/>
          <w:vertAlign w:val="subscript"/>
        </w:rPr>
        <w:t>1</w:t>
      </w:r>
      <w:r w:rsidRPr="00845FC4">
        <w:rPr>
          <w:rFonts w:ascii="Arial" w:hAnsi="Arial" w:cs="Arial"/>
          <w:sz w:val="18"/>
          <w:szCs w:val="18"/>
        </w:rPr>
        <w:t xml:space="preserve"> – consumo esperado de combustível sem a usina no sistema, em MWh/ano;</w:t>
      </w:r>
    </w:p>
    <w:p w:rsidR="00845FC4" w:rsidRPr="00845FC4" w:rsidRDefault="00845FC4" w:rsidP="00845FC4">
      <w:pPr>
        <w:rPr>
          <w:rFonts w:ascii="Arial" w:hAnsi="Arial" w:cs="Arial"/>
          <w:sz w:val="18"/>
          <w:szCs w:val="18"/>
        </w:rPr>
      </w:pPr>
    </w:p>
    <w:p w:rsidR="00845FC4" w:rsidRDefault="00845FC4" w:rsidP="00845FC4">
      <w:pPr>
        <w:autoSpaceDE w:val="0"/>
        <w:autoSpaceDN w:val="0"/>
        <w:adjustRightInd w:val="0"/>
        <w:jc w:val="both"/>
        <w:rPr>
          <w:rFonts w:ascii="Arial" w:hAnsi="Arial" w:cs="Arial"/>
          <w:sz w:val="18"/>
          <w:szCs w:val="18"/>
        </w:rPr>
      </w:pPr>
      <w:r w:rsidRPr="00845FC4">
        <w:rPr>
          <w:rFonts w:ascii="Arial" w:hAnsi="Arial" w:cs="Arial"/>
          <w:sz w:val="18"/>
          <w:szCs w:val="18"/>
        </w:rPr>
        <w:t>CC</w:t>
      </w:r>
      <w:r w:rsidRPr="00845FC4">
        <w:rPr>
          <w:rFonts w:ascii="Arial" w:hAnsi="Arial" w:cs="Arial"/>
          <w:sz w:val="18"/>
          <w:szCs w:val="18"/>
          <w:vertAlign w:val="superscript"/>
        </w:rPr>
        <w:t>’</w:t>
      </w:r>
      <w:r w:rsidRPr="00845FC4">
        <w:rPr>
          <w:rFonts w:ascii="Arial" w:hAnsi="Arial" w:cs="Arial"/>
          <w:sz w:val="18"/>
          <w:szCs w:val="18"/>
        </w:rPr>
        <w:t>- valor ponderado do custo de geração térmica do sistema, em $/MWh.</w:t>
      </w:r>
    </w:p>
    <w:p w:rsidR="00845FC4" w:rsidRDefault="00845FC4" w:rsidP="00845FC4">
      <w:pPr>
        <w:autoSpaceDE w:val="0"/>
        <w:autoSpaceDN w:val="0"/>
        <w:adjustRightInd w:val="0"/>
        <w:jc w:val="both"/>
        <w:rPr>
          <w:rFonts w:ascii="Arial" w:hAnsi="Arial" w:cs="Arial"/>
          <w:sz w:val="18"/>
          <w:szCs w:val="18"/>
        </w:rPr>
      </w:pPr>
    </w:p>
    <w:p w:rsidR="00845FC4" w:rsidRPr="00845FC4" w:rsidRDefault="00CA222B" w:rsidP="009971A3">
      <w:pPr>
        <w:autoSpaceDE w:val="0"/>
        <w:autoSpaceDN w:val="0"/>
        <w:adjustRightInd w:val="0"/>
        <w:spacing w:line="360" w:lineRule="auto"/>
        <w:jc w:val="both"/>
        <w:rPr>
          <w:rFonts w:ascii="Arial" w:hAnsi="Arial" w:cs="Arial"/>
          <w:sz w:val="18"/>
          <w:szCs w:val="18"/>
        </w:rPr>
      </w:pPr>
      <w:r>
        <w:rPr>
          <w:rFonts w:ascii="Arial" w:hAnsi="Arial" w:cs="Arial"/>
          <w:sz w:val="18"/>
          <w:szCs w:val="18"/>
        </w:rPr>
        <w:t>Já o benefício energético de uma UHE é dado pelo Ganho de</w:t>
      </w:r>
      <w:r w:rsidR="00845FC4" w:rsidRPr="00845FC4">
        <w:rPr>
          <w:rFonts w:ascii="Arial" w:hAnsi="Arial" w:cs="Arial"/>
          <w:sz w:val="18"/>
          <w:szCs w:val="18"/>
        </w:rPr>
        <w:t xml:space="preserve"> Energia Firme </w:t>
      </w:r>
      <w:r>
        <w:rPr>
          <w:rFonts w:ascii="Arial" w:hAnsi="Arial" w:cs="Arial"/>
          <w:sz w:val="18"/>
          <w:szCs w:val="18"/>
        </w:rPr>
        <w:t>que o empreendimento fornece ao sistema. E</w:t>
      </w:r>
      <w:r w:rsidR="00845FC4" w:rsidRPr="00845FC4">
        <w:rPr>
          <w:rFonts w:ascii="Arial" w:hAnsi="Arial" w:cs="Arial"/>
          <w:sz w:val="18"/>
          <w:szCs w:val="18"/>
        </w:rPr>
        <w:t>nquanto para UTE é dado pelo produto entre a potência, o fator de capacidade máximo e um fator que desconta o consumo interno</w:t>
      </w:r>
      <w:r>
        <w:rPr>
          <w:rFonts w:ascii="Arial" w:hAnsi="Arial" w:cs="Arial"/>
          <w:sz w:val="18"/>
          <w:szCs w:val="18"/>
        </w:rPr>
        <w:t>.</w:t>
      </w:r>
    </w:p>
    <w:p w:rsidR="00845FC4" w:rsidRDefault="00845FC4" w:rsidP="00845FC4">
      <w:pPr>
        <w:autoSpaceDE w:val="0"/>
        <w:autoSpaceDN w:val="0"/>
        <w:adjustRightInd w:val="0"/>
        <w:jc w:val="both"/>
        <w:rPr>
          <w:rFonts w:ascii="Arial" w:hAnsi="Arial" w:cs="Arial"/>
          <w:sz w:val="18"/>
          <w:szCs w:val="18"/>
        </w:rPr>
      </w:pPr>
    </w:p>
    <w:p w:rsidR="002226F9" w:rsidRDefault="002226F9" w:rsidP="006027B1">
      <w:pPr>
        <w:autoSpaceDE w:val="0"/>
        <w:autoSpaceDN w:val="0"/>
        <w:adjustRightInd w:val="0"/>
        <w:jc w:val="both"/>
        <w:rPr>
          <w:rFonts w:ascii="Arial" w:hAnsi="Arial" w:cs="Arial"/>
          <w:sz w:val="18"/>
          <w:szCs w:val="18"/>
        </w:rPr>
      </w:pPr>
    </w:p>
    <w:p w:rsidR="00D10571" w:rsidRPr="00CA222B" w:rsidRDefault="00CA222B" w:rsidP="006027B1">
      <w:pPr>
        <w:autoSpaceDE w:val="0"/>
        <w:autoSpaceDN w:val="0"/>
        <w:adjustRightInd w:val="0"/>
        <w:jc w:val="both"/>
        <w:rPr>
          <w:rFonts w:ascii="Arial" w:hAnsi="Arial" w:cs="Arial"/>
          <w:sz w:val="18"/>
          <w:szCs w:val="18"/>
        </w:rPr>
      </w:pPr>
      <w:r w:rsidRPr="00CA222B">
        <w:rPr>
          <w:rFonts w:ascii="Arial" w:hAnsi="Arial" w:cs="Arial"/>
          <w:sz w:val="18"/>
          <w:szCs w:val="18"/>
        </w:rPr>
        <w:t>Portanto, p</w:t>
      </w:r>
      <w:r w:rsidR="00D10571" w:rsidRPr="00CA222B">
        <w:rPr>
          <w:rFonts w:ascii="Arial" w:hAnsi="Arial" w:cs="Arial"/>
          <w:sz w:val="18"/>
          <w:szCs w:val="18"/>
        </w:rPr>
        <w:t>ara plantas hidroelétricas o CGER é dado por:</w:t>
      </w:r>
    </w:p>
    <w:p w:rsidR="00D10571" w:rsidRPr="00CA222B" w:rsidRDefault="00D10571" w:rsidP="006027B1">
      <w:pPr>
        <w:autoSpaceDE w:val="0"/>
        <w:autoSpaceDN w:val="0"/>
        <w:adjustRightInd w:val="0"/>
        <w:jc w:val="both"/>
        <w:rPr>
          <w:rFonts w:ascii="Arial" w:hAnsi="Arial" w:cs="Arial"/>
          <w:sz w:val="18"/>
          <w:szCs w:val="18"/>
        </w:rPr>
      </w:pPr>
    </w:p>
    <w:p w:rsidR="00D10571" w:rsidRPr="00CA222B" w:rsidRDefault="00D10571" w:rsidP="006027B1">
      <w:pPr>
        <w:autoSpaceDE w:val="0"/>
        <w:autoSpaceDN w:val="0"/>
        <w:adjustRightInd w:val="0"/>
        <w:jc w:val="both"/>
        <w:rPr>
          <w:rFonts w:ascii="Arial" w:hAnsi="Arial" w:cs="Arial"/>
          <w:sz w:val="18"/>
          <w:szCs w:val="18"/>
        </w:rPr>
      </w:pPr>
      <w:r w:rsidRPr="00CA222B">
        <w:rPr>
          <w:rFonts w:ascii="Arial" w:hAnsi="Arial" w:cs="Arial"/>
          <w:position w:val="-24"/>
          <w:sz w:val="18"/>
          <w:szCs w:val="18"/>
        </w:rPr>
        <w:object w:dxaOrig="4360" w:dyaOrig="620">
          <v:shape id="_x0000_i1027" type="#_x0000_t75" style="width:218.4pt;height:30.6pt" o:ole="">
            <v:imagedata r:id="rId16" o:title=""/>
          </v:shape>
          <o:OLEObject Type="Embed" ProgID="Equation.3" ShapeID="_x0000_i1027" DrawAspect="Content" ObjectID="_1627418307" r:id="rId17"/>
        </w:object>
      </w:r>
      <w:r w:rsidRPr="00CA222B">
        <w:rPr>
          <w:rFonts w:ascii="Arial" w:hAnsi="Arial" w:cs="Arial"/>
          <w:sz w:val="18"/>
          <w:szCs w:val="18"/>
        </w:rPr>
        <w:t xml:space="preserve"> </w:t>
      </w:r>
      <w:r w:rsidR="00DC0CE1">
        <w:rPr>
          <w:rFonts w:ascii="Arial" w:hAnsi="Arial" w:cs="Arial"/>
          <w:sz w:val="18"/>
          <w:szCs w:val="18"/>
        </w:rPr>
        <w:t xml:space="preserve">   </w:t>
      </w:r>
    </w:p>
    <w:p w:rsidR="00D10571" w:rsidRPr="00CA222B" w:rsidRDefault="00D10571" w:rsidP="006027B1">
      <w:pPr>
        <w:autoSpaceDE w:val="0"/>
        <w:autoSpaceDN w:val="0"/>
        <w:adjustRightInd w:val="0"/>
        <w:jc w:val="both"/>
        <w:rPr>
          <w:rFonts w:ascii="Arial" w:hAnsi="Arial" w:cs="Arial"/>
          <w:sz w:val="18"/>
          <w:szCs w:val="18"/>
        </w:rPr>
      </w:pPr>
    </w:p>
    <w:p w:rsidR="00D10571" w:rsidRDefault="00D10571" w:rsidP="00D10571">
      <w:pPr>
        <w:rPr>
          <w:rFonts w:ascii="Arial" w:hAnsi="Arial" w:cs="Arial"/>
          <w:sz w:val="18"/>
          <w:szCs w:val="18"/>
        </w:rPr>
      </w:pPr>
      <w:r w:rsidRPr="00CA222B">
        <w:rPr>
          <w:rFonts w:ascii="Arial" w:hAnsi="Arial" w:cs="Arial"/>
          <w:sz w:val="18"/>
          <w:szCs w:val="18"/>
        </w:rPr>
        <w:t>onde:</w:t>
      </w:r>
    </w:p>
    <w:p w:rsidR="00CA222B" w:rsidRPr="00CA222B" w:rsidRDefault="00CA222B" w:rsidP="00D10571">
      <w:pPr>
        <w:rPr>
          <w:rFonts w:ascii="Arial" w:hAnsi="Arial" w:cs="Arial"/>
          <w:sz w:val="18"/>
          <w:szCs w:val="18"/>
        </w:rPr>
      </w:pPr>
    </w:p>
    <w:p w:rsidR="00D10571" w:rsidRPr="00CA222B" w:rsidRDefault="00D10571" w:rsidP="00D10571">
      <w:pPr>
        <w:rPr>
          <w:rFonts w:ascii="Arial" w:hAnsi="Arial" w:cs="Arial"/>
          <w:sz w:val="18"/>
          <w:szCs w:val="18"/>
        </w:rPr>
      </w:pPr>
      <w:r w:rsidRPr="00CA222B">
        <w:rPr>
          <w:rFonts w:ascii="Arial" w:hAnsi="Arial" w:cs="Arial"/>
          <w:sz w:val="18"/>
          <w:szCs w:val="18"/>
        </w:rPr>
        <w:t>CGER – em $/MWh;</w:t>
      </w:r>
    </w:p>
    <w:p w:rsidR="00D10571" w:rsidRPr="00CA222B" w:rsidRDefault="00D10571" w:rsidP="00D10571">
      <w:pPr>
        <w:rPr>
          <w:rFonts w:ascii="Arial" w:hAnsi="Arial" w:cs="Arial"/>
          <w:sz w:val="18"/>
          <w:szCs w:val="18"/>
        </w:rPr>
      </w:pPr>
    </w:p>
    <w:p w:rsidR="00D10571" w:rsidRDefault="00D10571" w:rsidP="00D10571">
      <w:pPr>
        <w:rPr>
          <w:rFonts w:ascii="Arial" w:hAnsi="Arial" w:cs="Arial"/>
          <w:sz w:val="18"/>
          <w:szCs w:val="18"/>
        </w:rPr>
      </w:pPr>
      <w:r w:rsidRPr="00CA222B">
        <w:rPr>
          <w:rFonts w:ascii="Arial" w:hAnsi="Arial" w:cs="Arial"/>
          <w:sz w:val="18"/>
          <w:szCs w:val="18"/>
        </w:rPr>
        <w:t>ΔEF – ganho de energia firme do sistema, em MWa;</w:t>
      </w:r>
    </w:p>
    <w:p w:rsidR="00CA222B" w:rsidRPr="00CA222B" w:rsidRDefault="00CA222B" w:rsidP="00D10571">
      <w:pPr>
        <w:rPr>
          <w:rFonts w:ascii="Arial" w:hAnsi="Arial" w:cs="Arial"/>
          <w:sz w:val="18"/>
          <w:szCs w:val="18"/>
        </w:rPr>
      </w:pPr>
    </w:p>
    <w:p w:rsidR="00D10571" w:rsidRDefault="00D10571" w:rsidP="00D10571">
      <w:pPr>
        <w:autoSpaceDE w:val="0"/>
        <w:autoSpaceDN w:val="0"/>
        <w:adjustRightInd w:val="0"/>
        <w:jc w:val="both"/>
        <w:rPr>
          <w:rFonts w:ascii="Arial" w:hAnsi="Arial" w:cs="Arial"/>
          <w:sz w:val="18"/>
          <w:szCs w:val="18"/>
        </w:rPr>
      </w:pPr>
      <w:r w:rsidRPr="00CA222B">
        <w:rPr>
          <w:rFonts w:ascii="Arial" w:hAnsi="Arial" w:cs="Arial"/>
          <w:sz w:val="18"/>
          <w:szCs w:val="18"/>
        </w:rPr>
        <w:t>8760 – número de horas do ano;</w:t>
      </w:r>
    </w:p>
    <w:p w:rsidR="00DC0CE1" w:rsidRDefault="00DC0CE1" w:rsidP="00D10571">
      <w:pPr>
        <w:autoSpaceDE w:val="0"/>
        <w:autoSpaceDN w:val="0"/>
        <w:adjustRightInd w:val="0"/>
        <w:jc w:val="both"/>
        <w:rPr>
          <w:rFonts w:ascii="Arial" w:hAnsi="Arial" w:cs="Arial"/>
          <w:sz w:val="18"/>
          <w:szCs w:val="18"/>
        </w:rPr>
      </w:pPr>
    </w:p>
    <w:p w:rsidR="00DC0CE1" w:rsidRDefault="00DC0CE1" w:rsidP="00D10571">
      <w:pPr>
        <w:autoSpaceDE w:val="0"/>
        <w:autoSpaceDN w:val="0"/>
        <w:adjustRightInd w:val="0"/>
        <w:jc w:val="both"/>
        <w:rPr>
          <w:rFonts w:ascii="Arial" w:hAnsi="Arial" w:cs="Arial"/>
          <w:sz w:val="18"/>
          <w:szCs w:val="18"/>
        </w:rPr>
      </w:pPr>
      <w:r>
        <w:rPr>
          <w:rFonts w:ascii="Arial" w:hAnsi="Arial" w:cs="Arial"/>
          <w:sz w:val="18"/>
          <w:szCs w:val="18"/>
        </w:rPr>
        <w:t>As demais variáveis já foram descritas anteriormente.</w:t>
      </w:r>
    </w:p>
    <w:p w:rsidR="00CA222B" w:rsidRDefault="00CA222B" w:rsidP="00D10571">
      <w:pPr>
        <w:autoSpaceDE w:val="0"/>
        <w:autoSpaceDN w:val="0"/>
        <w:adjustRightInd w:val="0"/>
        <w:jc w:val="both"/>
        <w:rPr>
          <w:rFonts w:ascii="Arial" w:hAnsi="Arial" w:cs="Arial"/>
          <w:sz w:val="18"/>
          <w:szCs w:val="18"/>
        </w:rPr>
      </w:pPr>
    </w:p>
    <w:p w:rsidR="00CA222B" w:rsidRPr="00CA222B" w:rsidRDefault="00CA222B" w:rsidP="00CA222B">
      <w:pPr>
        <w:pStyle w:val="Corpodetexto2"/>
        <w:rPr>
          <w:rFonts w:cs="Arial"/>
          <w:b w:val="0"/>
          <w:sz w:val="18"/>
          <w:szCs w:val="18"/>
          <w14:shadow w14:blurRad="0" w14:dist="0" w14:dir="0" w14:sx="0" w14:sy="0" w14:kx="0" w14:ky="0" w14:algn="none">
            <w14:srgbClr w14:val="000000"/>
          </w14:shadow>
        </w:rPr>
      </w:pPr>
      <w:r>
        <w:rPr>
          <w:rFonts w:cs="Arial"/>
          <w:b w:val="0"/>
          <w:sz w:val="18"/>
          <w:szCs w:val="18"/>
          <w14:shadow w14:blurRad="0" w14:dist="0" w14:dir="0" w14:sx="0" w14:sy="0" w14:kx="0" w14:ky="0" w14:algn="none">
            <w14:srgbClr w14:val="000000"/>
          </w14:shadow>
        </w:rPr>
        <w:t>Já para as UTEs t</w:t>
      </w:r>
      <w:r w:rsidR="00853A20">
        <w:rPr>
          <w:rFonts w:cs="Arial"/>
          <w:b w:val="0"/>
          <w:sz w:val="18"/>
          <w:szCs w:val="18"/>
          <w14:shadow w14:blurRad="0" w14:dist="0" w14:dir="0" w14:sx="0" w14:sy="0" w14:kx="0" w14:ky="0" w14:algn="none">
            <w14:srgbClr w14:val="000000"/>
          </w14:shadow>
        </w:rPr>
        <w:t>e</w:t>
      </w:r>
      <w:r>
        <w:rPr>
          <w:rFonts w:cs="Arial"/>
          <w:b w:val="0"/>
          <w:sz w:val="18"/>
          <w:szCs w:val="18"/>
          <w14:shadow w14:blurRad="0" w14:dist="0" w14:dir="0" w14:sx="0" w14:sy="0" w14:kx="0" w14:ky="0" w14:algn="none">
            <w14:srgbClr w14:val="000000"/>
          </w14:shadow>
        </w:rPr>
        <w:t>m-se</w:t>
      </w:r>
      <w:r w:rsidRPr="00CA222B">
        <w:rPr>
          <w:rFonts w:cs="Arial"/>
          <w:b w:val="0"/>
          <w:sz w:val="18"/>
          <w:szCs w:val="18"/>
          <w14:shadow w14:blurRad="0" w14:dist="0" w14:dir="0" w14:sx="0" w14:sy="0" w14:kx="0" w14:ky="0" w14:algn="none">
            <w14:srgbClr w14:val="000000"/>
          </w14:shadow>
        </w:rPr>
        <w:t>:</w:t>
      </w:r>
    </w:p>
    <w:p w:rsidR="00CA222B" w:rsidRPr="00CA222B" w:rsidRDefault="00CA222B" w:rsidP="00CA222B">
      <w:pPr>
        <w:rPr>
          <w:rFonts w:ascii="Arial" w:hAnsi="Arial" w:cs="Arial"/>
          <w:sz w:val="18"/>
          <w:szCs w:val="18"/>
        </w:rPr>
      </w:pPr>
    </w:p>
    <w:p w:rsidR="00CA222B" w:rsidRPr="00CA222B" w:rsidRDefault="00473A26" w:rsidP="00CA222B">
      <w:pPr>
        <w:rPr>
          <w:rFonts w:ascii="Arial" w:hAnsi="Arial" w:cs="Arial"/>
          <w:sz w:val="18"/>
          <w:szCs w:val="18"/>
        </w:rPr>
      </w:pPr>
      <w:r w:rsidRPr="00473A26">
        <w:rPr>
          <w:rFonts w:ascii="Arial" w:hAnsi="Arial" w:cs="Arial"/>
          <w:position w:val="-30"/>
          <w:sz w:val="16"/>
          <w:szCs w:val="16"/>
        </w:rPr>
        <w:object w:dxaOrig="6800" w:dyaOrig="760">
          <v:shape id="_x0000_i1028" type="#_x0000_t75" style="width:322.8pt;height:38.4pt" o:ole="">
            <v:imagedata r:id="rId18" o:title=""/>
          </v:shape>
          <o:OLEObject Type="Embed" ProgID="Equation.3" ShapeID="_x0000_i1028" DrawAspect="Content" ObjectID="_1627418308" r:id="rId19"/>
        </w:object>
      </w:r>
      <w:r w:rsidR="009971A3">
        <w:rPr>
          <w:rFonts w:ascii="Arial" w:hAnsi="Arial" w:cs="Arial"/>
          <w:sz w:val="18"/>
          <w:szCs w:val="18"/>
        </w:rPr>
        <w:t xml:space="preserve">     </w:t>
      </w:r>
    </w:p>
    <w:p w:rsidR="00CA222B" w:rsidRPr="00CA222B" w:rsidRDefault="00CA222B" w:rsidP="00CA222B">
      <w:pPr>
        <w:rPr>
          <w:rFonts w:ascii="Arial" w:hAnsi="Arial" w:cs="Arial"/>
          <w:sz w:val="18"/>
          <w:szCs w:val="18"/>
        </w:rPr>
      </w:pPr>
    </w:p>
    <w:p w:rsidR="00CA222B" w:rsidRPr="00CA222B" w:rsidRDefault="00CA222B" w:rsidP="00CA222B">
      <w:pPr>
        <w:rPr>
          <w:rFonts w:ascii="Arial" w:hAnsi="Arial" w:cs="Arial"/>
          <w:sz w:val="18"/>
          <w:szCs w:val="18"/>
        </w:rPr>
      </w:pPr>
    </w:p>
    <w:p w:rsidR="00CA222B" w:rsidRDefault="00CA222B" w:rsidP="00CA222B">
      <w:pPr>
        <w:rPr>
          <w:rFonts w:ascii="Arial" w:hAnsi="Arial" w:cs="Arial"/>
          <w:sz w:val="18"/>
          <w:szCs w:val="18"/>
        </w:rPr>
      </w:pPr>
      <w:r w:rsidRPr="00CA222B">
        <w:rPr>
          <w:rFonts w:ascii="Arial" w:hAnsi="Arial" w:cs="Arial"/>
          <w:sz w:val="18"/>
          <w:szCs w:val="18"/>
        </w:rPr>
        <w:t>onde:</w:t>
      </w:r>
    </w:p>
    <w:p w:rsidR="00DC0CE1" w:rsidRDefault="00DC0CE1" w:rsidP="00CA222B">
      <w:pPr>
        <w:rPr>
          <w:rFonts w:ascii="Arial" w:hAnsi="Arial" w:cs="Arial"/>
          <w:sz w:val="18"/>
          <w:szCs w:val="18"/>
        </w:rPr>
      </w:pPr>
    </w:p>
    <w:p w:rsidR="00DC0CE1" w:rsidRDefault="00DC0CE1" w:rsidP="00CA222B">
      <w:pPr>
        <w:rPr>
          <w:rFonts w:ascii="Arial" w:hAnsi="Arial" w:cs="Arial"/>
          <w:sz w:val="18"/>
          <w:szCs w:val="18"/>
        </w:rPr>
      </w:pPr>
      <w:r>
        <w:rPr>
          <w:rFonts w:ascii="Arial" w:hAnsi="Arial" w:cs="Arial"/>
          <w:sz w:val="18"/>
          <w:szCs w:val="18"/>
        </w:rPr>
        <w:t xml:space="preserve">FCMAX  - fator de capacidade máximo, </w:t>
      </w:r>
      <w:r w:rsidRPr="00CA222B">
        <w:rPr>
          <w:rFonts w:ascii="Arial" w:hAnsi="Arial" w:cs="Arial"/>
          <w:sz w:val="18"/>
          <w:szCs w:val="18"/>
        </w:rPr>
        <w:t>em per unit;</w:t>
      </w:r>
    </w:p>
    <w:p w:rsidR="00DC0CE1" w:rsidRPr="00CA222B" w:rsidRDefault="00DC0CE1" w:rsidP="00CA222B">
      <w:pPr>
        <w:rPr>
          <w:rFonts w:ascii="Arial" w:hAnsi="Arial" w:cs="Arial"/>
          <w:sz w:val="18"/>
          <w:szCs w:val="18"/>
        </w:rPr>
      </w:pPr>
    </w:p>
    <w:p w:rsidR="00CA222B" w:rsidRPr="00CA222B" w:rsidRDefault="00CA222B" w:rsidP="00CA222B">
      <w:pPr>
        <w:rPr>
          <w:rFonts w:ascii="Arial" w:hAnsi="Arial" w:cs="Arial"/>
          <w:sz w:val="18"/>
          <w:szCs w:val="18"/>
        </w:rPr>
      </w:pPr>
      <w:r w:rsidRPr="00CA222B">
        <w:rPr>
          <w:rFonts w:ascii="Arial" w:hAnsi="Arial" w:cs="Arial"/>
          <w:sz w:val="18"/>
          <w:szCs w:val="18"/>
        </w:rPr>
        <w:t>c – consumo interno, em per unit;</w:t>
      </w:r>
    </w:p>
    <w:p w:rsidR="00CA222B" w:rsidRPr="00CA222B" w:rsidRDefault="00CA222B" w:rsidP="00CA222B">
      <w:pPr>
        <w:rPr>
          <w:rFonts w:ascii="Arial" w:hAnsi="Arial" w:cs="Arial"/>
          <w:sz w:val="18"/>
          <w:szCs w:val="18"/>
        </w:rPr>
      </w:pPr>
    </w:p>
    <w:p w:rsidR="00CA222B" w:rsidRDefault="00CA222B" w:rsidP="00CA222B">
      <w:pPr>
        <w:autoSpaceDE w:val="0"/>
        <w:autoSpaceDN w:val="0"/>
        <w:adjustRightInd w:val="0"/>
        <w:jc w:val="both"/>
        <w:rPr>
          <w:rFonts w:ascii="Arial" w:hAnsi="Arial" w:cs="Arial"/>
          <w:sz w:val="18"/>
          <w:szCs w:val="18"/>
        </w:rPr>
      </w:pPr>
      <w:r w:rsidRPr="00CA222B">
        <w:rPr>
          <w:rFonts w:ascii="Arial" w:hAnsi="Arial" w:cs="Arial"/>
          <w:sz w:val="18"/>
          <w:szCs w:val="18"/>
        </w:rPr>
        <w:t>As demais variáveis já foram definidas anteriormente.</w:t>
      </w:r>
    </w:p>
    <w:p w:rsidR="00DC0CE1" w:rsidRDefault="00DC0CE1" w:rsidP="00CA222B">
      <w:pPr>
        <w:autoSpaceDE w:val="0"/>
        <w:autoSpaceDN w:val="0"/>
        <w:adjustRightInd w:val="0"/>
        <w:jc w:val="both"/>
        <w:rPr>
          <w:rFonts w:ascii="Arial" w:hAnsi="Arial" w:cs="Arial"/>
          <w:sz w:val="18"/>
          <w:szCs w:val="18"/>
        </w:rPr>
      </w:pPr>
    </w:p>
    <w:p w:rsidR="00473A26" w:rsidRPr="00473A26" w:rsidRDefault="00473A26" w:rsidP="00473A26">
      <w:pPr>
        <w:pStyle w:val="Ttulo2"/>
        <w:rPr>
          <w:sz w:val="18"/>
          <w:szCs w:val="18"/>
        </w:rPr>
      </w:pPr>
      <w:r w:rsidRPr="00473A26">
        <w:rPr>
          <w:sz w:val="18"/>
          <w:szCs w:val="18"/>
        </w:rPr>
        <w:t>3.2 Critério Probabilístico</w:t>
      </w:r>
    </w:p>
    <w:p w:rsidR="00473A26" w:rsidRDefault="00473A26" w:rsidP="00CA222B">
      <w:pPr>
        <w:autoSpaceDE w:val="0"/>
        <w:autoSpaceDN w:val="0"/>
        <w:adjustRightInd w:val="0"/>
        <w:jc w:val="both"/>
        <w:rPr>
          <w:rFonts w:ascii="Arial" w:hAnsi="Arial" w:cs="Arial"/>
          <w:sz w:val="18"/>
          <w:szCs w:val="18"/>
          <w:u w:val="single"/>
        </w:rPr>
      </w:pPr>
    </w:p>
    <w:p w:rsidR="00473A26" w:rsidRDefault="00430C81" w:rsidP="009971A3">
      <w:pPr>
        <w:autoSpaceDE w:val="0"/>
        <w:autoSpaceDN w:val="0"/>
        <w:adjustRightInd w:val="0"/>
        <w:spacing w:line="360" w:lineRule="auto"/>
        <w:jc w:val="both"/>
        <w:rPr>
          <w:rFonts w:ascii="Arial" w:hAnsi="Arial" w:cs="Arial"/>
          <w:sz w:val="18"/>
          <w:szCs w:val="18"/>
        </w:rPr>
      </w:pPr>
      <w:r w:rsidRPr="00430C81">
        <w:rPr>
          <w:rFonts w:ascii="Arial" w:hAnsi="Arial" w:cs="Arial"/>
          <w:sz w:val="18"/>
          <w:szCs w:val="18"/>
        </w:rPr>
        <w:t xml:space="preserve">Na </w:t>
      </w:r>
      <w:r w:rsidR="007D6FBC">
        <w:rPr>
          <w:rFonts w:ascii="Arial" w:hAnsi="Arial" w:cs="Arial"/>
          <w:sz w:val="18"/>
          <w:szCs w:val="18"/>
        </w:rPr>
        <w:t>primeira metade da década de 1980 são realizados diversos estudos os quais destacam os diversos problemas do critério tradicional</w:t>
      </w:r>
      <w:r w:rsidR="003C519C">
        <w:rPr>
          <w:rFonts w:ascii="Arial" w:hAnsi="Arial" w:cs="Arial"/>
          <w:sz w:val="18"/>
          <w:szCs w:val="18"/>
        </w:rPr>
        <w:t xml:space="preserve"> (</w:t>
      </w:r>
      <w:r w:rsidR="001B6B6E">
        <w:rPr>
          <w:rFonts w:ascii="Arial" w:hAnsi="Arial" w:cs="Arial"/>
          <w:sz w:val="18"/>
          <w:szCs w:val="18"/>
        </w:rPr>
        <w:t xml:space="preserve">5, </w:t>
      </w:r>
      <w:r w:rsidR="003C519C">
        <w:rPr>
          <w:rFonts w:ascii="Arial" w:hAnsi="Arial" w:cs="Arial"/>
          <w:sz w:val="18"/>
          <w:szCs w:val="18"/>
        </w:rPr>
        <w:t>8, 9, 10, 11 e 12), quais sejam:</w:t>
      </w:r>
    </w:p>
    <w:p w:rsidR="003C519C" w:rsidRDefault="003C519C" w:rsidP="009971A3">
      <w:pPr>
        <w:autoSpaceDE w:val="0"/>
        <w:autoSpaceDN w:val="0"/>
        <w:adjustRightInd w:val="0"/>
        <w:spacing w:line="360" w:lineRule="auto"/>
        <w:jc w:val="both"/>
        <w:rPr>
          <w:rFonts w:ascii="Arial" w:hAnsi="Arial" w:cs="Arial"/>
          <w:sz w:val="18"/>
          <w:szCs w:val="18"/>
        </w:rPr>
      </w:pPr>
    </w:p>
    <w:p w:rsidR="003C519C" w:rsidRDefault="003C519C" w:rsidP="009971A3">
      <w:pPr>
        <w:autoSpaceDE w:val="0"/>
        <w:autoSpaceDN w:val="0"/>
        <w:adjustRightInd w:val="0"/>
        <w:spacing w:line="360" w:lineRule="auto"/>
        <w:jc w:val="both"/>
        <w:rPr>
          <w:rFonts w:ascii="Arial" w:hAnsi="Arial" w:cs="Arial"/>
          <w:sz w:val="18"/>
          <w:szCs w:val="18"/>
        </w:rPr>
      </w:pPr>
      <w:r w:rsidRPr="003C519C">
        <w:rPr>
          <w:rFonts w:ascii="Arial" w:hAnsi="Arial" w:cs="Arial"/>
          <w:sz w:val="18"/>
          <w:szCs w:val="18"/>
        </w:rPr>
        <w:t>i) Possibilidade de ocorrer situações hidrológicas mais críticas do que as verificadas no passado, implicando assim na ocorrência de déficits;</w:t>
      </w:r>
    </w:p>
    <w:p w:rsidR="003C519C" w:rsidRPr="003C519C" w:rsidRDefault="003C519C" w:rsidP="009971A3">
      <w:pPr>
        <w:autoSpaceDE w:val="0"/>
        <w:autoSpaceDN w:val="0"/>
        <w:adjustRightInd w:val="0"/>
        <w:spacing w:line="360" w:lineRule="auto"/>
        <w:jc w:val="both"/>
        <w:rPr>
          <w:rFonts w:ascii="Arial" w:hAnsi="Arial" w:cs="Arial"/>
          <w:sz w:val="18"/>
          <w:szCs w:val="18"/>
        </w:rPr>
      </w:pPr>
      <w:r w:rsidRPr="003C519C">
        <w:rPr>
          <w:rFonts w:ascii="Arial" w:hAnsi="Arial" w:cs="Arial"/>
          <w:sz w:val="18"/>
          <w:szCs w:val="18"/>
        </w:rPr>
        <w:t xml:space="preserve"> </w:t>
      </w:r>
    </w:p>
    <w:p w:rsidR="003C519C" w:rsidRDefault="003C519C" w:rsidP="009971A3">
      <w:pPr>
        <w:autoSpaceDE w:val="0"/>
        <w:autoSpaceDN w:val="0"/>
        <w:adjustRightInd w:val="0"/>
        <w:spacing w:line="360" w:lineRule="auto"/>
        <w:jc w:val="both"/>
        <w:rPr>
          <w:rFonts w:ascii="Arial" w:hAnsi="Arial" w:cs="Arial"/>
          <w:sz w:val="18"/>
          <w:szCs w:val="18"/>
        </w:rPr>
      </w:pPr>
      <w:r w:rsidRPr="003C519C">
        <w:rPr>
          <w:rFonts w:ascii="Arial" w:hAnsi="Arial" w:cs="Arial"/>
          <w:sz w:val="18"/>
          <w:szCs w:val="18"/>
        </w:rPr>
        <w:t xml:space="preserve">ii) Não sinaliza o valor do risco de não atendimento ao mercado futuro de energia elétrica, que pode representar num escasso (excessivo) investimento no setor, caso o pior regime de afluência histórica represente uma probabilidade de ocorrência tão grande (pequena) que sua utilização como critério de planejamento implicaria uma garantia por demais pequena (elevada); </w:t>
      </w:r>
    </w:p>
    <w:p w:rsidR="003C519C" w:rsidRPr="003C519C" w:rsidRDefault="003C519C" w:rsidP="009971A3">
      <w:pPr>
        <w:autoSpaceDE w:val="0"/>
        <w:autoSpaceDN w:val="0"/>
        <w:adjustRightInd w:val="0"/>
        <w:spacing w:line="360" w:lineRule="auto"/>
        <w:jc w:val="both"/>
        <w:rPr>
          <w:rFonts w:ascii="Arial" w:hAnsi="Arial" w:cs="Arial"/>
          <w:sz w:val="18"/>
          <w:szCs w:val="18"/>
        </w:rPr>
      </w:pPr>
    </w:p>
    <w:p w:rsidR="003C519C" w:rsidRDefault="003C519C" w:rsidP="009971A3">
      <w:pPr>
        <w:autoSpaceDE w:val="0"/>
        <w:autoSpaceDN w:val="0"/>
        <w:adjustRightInd w:val="0"/>
        <w:spacing w:line="360" w:lineRule="auto"/>
        <w:jc w:val="both"/>
        <w:rPr>
          <w:rFonts w:ascii="Arial" w:hAnsi="Arial" w:cs="Arial"/>
          <w:sz w:val="18"/>
          <w:szCs w:val="18"/>
        </w:rPr>
      </w:pPr>
      <w:r w:rsidRPr="003C519C">
        <w:rPr>
          <w:rFonts w:ascii="Arial" w:hAnsi="Arial" w:cs="Arial"/>
          <w:sz w:val="18"/>
          <w:szCs w:val="18"/>
        </w:rPr>
        <w:t>iii) Não existe uma regra de operação conjunta do sistema tendo por finalidade minimizar o custo total de op</w:t>
      </w:r>
      <w:r>
        <w:rPr>
          <w:rFonts w:ascii="Arial" w:hAnsi="Arial" w:cs="Arial"/>
          <w:sz w:val="18"/>
          <w:szCs w:val="18"/>
        </w:rPr>
        <w:t>eração;</w:t>
      </w:r>
    </w:p>
    <w:p w:rsidR="003C519C" w:rsidRPr="003C519C" w:rsidRDefault="003C519C" w:rsidP="009971A3">
      <w:pPr>
        <w:autoSpaceDE w:val="0"/>
        <w:autoSpaceDN w:val="0"/>
        <w:adjustRightInd w:val="0"/>
        <w:spacing w:line="360" w:lineRule="auto"/>
        <w:jc w:val="both"/>
        <w:rPr>
          <w:rFonts w:ascii="Arial" w:hAnsi="Arial" w:cs="Arial"/>
          <w:sz w:val="18"/>
          <w:szCs w:val="18"/>
        </w:rPr>
      </w:pPr>
    </w:p>
    <w:p w:rsidR="003C519C" w:rsidRDefault="003C519C" w:rsidP="009971A3">
      <w:pPr>
        <w:autoSpaceDE w:val="0"/>
        <w:autoSpaceDN w:val="0"/>
        <w:adjustRightInd w:val="0"/>
        <w:spacing w:line="360" w:lineRule="auto"/>
        <w:jc w:val="both"/>
        <w:rPr>
          <w:rFonts w:ascii="Arial" w:hAnsi="Arial" w:cs="Arial"/>
          <w:sz w:val="18"/>
          <w:szCs w:val="18"/>
        </w:rPr>
      </w:pPr>
      <w:r w:rsidRPr="003C519C">
        <w:rPr>
          <w:rFonts w:ascii="Arial" w:hAnsi="Arial" w:cs="Arial"/>
          <w:sz w:val="18"/>
          <w:szCs w:val="18"/>
        </w:rPr>
        <w:t>iv) Dificuldade em ratear a energia firme de um sistema entre as usinas que o compõem, uma vez que a energia firme do sistema é maior do que o somatório das energias firmes das usinas isoladas em seus respectivos períodos críticos. Portanto, um rateio baseado apenas no período crítico leva a supervalorização de usinas cujas vazões, por acaso, tenham sido favoráveis neste período o que não garante, em termos estatísticos, que venham a ter vazões favoráveis no próximo período crítico.</w:t>
      </w:r>
    </w:p>
    <w:p w:rsidR="001B6B6E" w:rsidRDefault="001B6B6E" w:rsidP="009971A3">
      <w:pPr>
        <w:autoSpaceDE w:val="0"/>
        <w:autoSpaceDN w:val="0"/>
        <w:adjustRightInd w:val="0"/>
        <w:spacing w:line="360" w:lineRule="auto"/>
        <w:jc w:val="both"/>
        <w:rPr>
          <w:rFonts w:ascii="Arial" w:hAnsi="Arial" w:cs="Arial"/>
          <w:sz w:val="18"/>
          <w:szCs w:val="18"/>
        </w:rPr>
      </w:pPr>
    </w:p>
    <w:p w:rsidR="00F87042" w:rsidRDefault="001B6B6E" w:rsidP="009971A3">
      <w:pPr>
        <w:autoSpaceDE w:val="0"/>
        <w:autoSpaceDN w:val="0"/>
        <w:adjustRightInd w:val="0"/>
        <w:spacing w:line="360" w:lineRule="auto"/>
        <w:jc w:val="both"/>
        <w:rPr>
          <w:rFonts w:ascii="Arial" w:hAnsi="Arial" w:cs="Arial"/>
          <w:sz w:val="18"/>
          <w:szCs w:val="18"/>
        </w:rPr>
      </w:pPr>
      <w:r w:rsidRPr="001B6B6E">
        <w:rPr>
          <w:rFonts w:ascii="Arial" w:hAnsi="Arial" w:cs="Arial"/>
          <w:sz w:val="18"/>
          <w:szCs w:val="18"/>
        </w:rPr>
        <w:t>A abordagem probabilística começou a ser elaborada em 1979 e obteve sua aprovação e</w:t>
      </w:r>
      <w:r>
        <w:rPr>
          <w:rFonts w:ascii="Arial" w:hAnsi="Arial" w:cs="Arial"/>
          <w:sz w:val="18"/>
          <w:szCs w:val="18"/>
        </w:rPr>
        <w:t xml:space="preserve">m </w:t>
      </w:r>
      <w:r w:rsidR="008203A9">
        <w:rPr>
          <w:rFonts w:ascii="Arial" w:hAnsi="Arial" w:cs="Arial"/>
          <w:sz w:val="18"/>
          <w:szCs w:val="18"/>
        </w:rPr>
        <w:t>1989 pelo GCPS. Seu objetivo é</w:t>
      </w:r>
      <w:r w:rsidRPr="001B6B6E">
        <w:rPr>
          <w:rFonts w:ascii="Arial" w:hAnsi="Arial" w:cs="Arial"/>
          <w:sz w:val="18"/>
          <w:szCs w:val="18"/>
        </w:rPr>
        <w:t xml:space="preserve"> assegurar que o planejamento da expansão resulte num plano capaz de atender o mercado previsto com uma qualidade de serviço aceitável. </w:t>
      </w:r>
      <w:r w:rsidR="008203A9">
        <w:rPr>
          <w:rFonts w:ascii="Arial" w:hAnsi="Arial" w:cs="Arial"/>
          <w:sz w:val="18"/>
          <w:szCs w:val="18"/>
        </w:rPr>
        <w:t>Diante disso</w:t>
      </w:r>
      <w:r w:rsidRPr="001B6B6E">
        <w:rPr>
          <w:rFonts w:ascii="Arial" w:hAnsi="Arial" w:cs="Arial"/>
          <w:sz w:val="18"/>
          <w:szCs w:val="18"/>
        </w:rPr>
        <w:t xml:space="preserve">, </w:t>
      </w:r>
      <w:r w:rsidR="008203A9">
        <w:rPr>
          <w:rFonts w:ascii="Arial" w:hAnsi="Arial" w:cs="Arial"/>
          <w:sz w:val="18"/>
          <w:szCs w:val="18"/>
        </w:rPr>
        <w:t>define-se</w:t>
      </w:r>
      <w:r w:rsidRPr="001B6B6E">
        <w:rPr>
          <w:rFonts w:ascii="Arial" w:hAnsi="Arial" w:cs="Arial"/>
          <w:sz w:val="18"/>
          <w:szCs w:val="18"/>
        </w:rPr>
        <w:t xml:space="preserve"> a Energia Garantida (EG) de um sistema hidrotérmico como a máxima carga média anual constante que pode ser suprida continuamente, de forma a atender a um critério probabilístico de garantia de suprimento.  </w:t>
      </w:r>
    </w:p>
    <w:p w:rsidR="00F87042" w:rsidRDefault="00F87042" w:rsidP="009971A3">
      <w:pPr>
        <w:autoSpaceDE w:val="0"/>
        <w:autoSpaceDN w:val="0"/>
        <w:adjustRightInd w:val="0"/>
        <w:spacing w:line="360" w:lineRule="auto"/>
        <w:jc w:val="both"/>
        <w:rPr>
          <w:rFonts w:ascii="Arial" w:hAnsi="Arial" w:cs="Arial"/>
          <w:sz w:val="18"/>
          <w:szCs w:val="18"/>
        </w:rPr>
      </w:pPr>
    </w:p>
    <w:p w:rsidR="00F87042" w:rsidRDefault="00F87042" w:rsidP="009971A3">
      <w:pPr>
        <w:autoSpaceDE w:val="0"/>
        <w:autoSpaceDN w:val="0"/>
        <w:adjustRightInd w:val="0"/>
        <w:spacing w:line="360" w:lineRule="auto"/>
        <w:jc w:val="both"/>
        <w:rPr>
          <w:rFonts w:ascii="Arial" w:hAnsi="Arial" w:cs="Arial"/>
          <w:sz w:val="18"/>
          <w:szCs w:val="18"/>
        </w:rPr>
      </w:pPr>
      <w:r>
        <w:rPr>
          <w:rFonts w:ascii="Arial" w:hAnsi="Arial" w:cs="Arial"/>
          <w:sz w:val="18"/>
          <w:szCs w:val="18"/>
        </w:rPr>
        <w:t xml:space="preserve">A figura 1 reproduz a função densidade de probabilidade apresentada </w:t>
      </w:r>
      <w:r w:rsidR="00FF0A40">
        <w:rPr>
          <w:rFonts w:ascii="Arial" w:hAnsi="Arial" w:cs="Arial"/>
          <w:sz w:val="18"/>
          <w:szCs w:val="18"/>
        </w:rPr>
        <w:t>por</w:t>
      </w:r>
      <w:r>
        <w:rPr>
          <w:rFonts w:ascii="Arial" w:hAnsi="Arial" w:cs="Arial"/>
          <w:sz w:val="18"/>
          <w:szCs w:val="18"/>
        </w:rPr>
        <w:t xml:space="preserve"> </w:t>
      </w:r>
      <w:r w:rsidR="00FF0A40">
        <w:rPr>
          <w:rFonts w:ascii="Arial" w:hAnsi="Arial" w:cs="Arial"/>
          <w:sz w:val="18"/>
          <w:szCs w:val="18"/>
        </w:rPr>
        <w:t xml:space="preserve">(12), </w:t>
      </w:r>
      <w:r w:rsidR="00FF0A40" w:rsidRPr="001B6B6E">
        <w:rPr>
          <w:rFonts w:ascii="Arial" w:hAnsi="Arial" w:cs="Arial"/>
          <w:sz w:val="18"/>
          <w:szCs w:val="18"/>
        </w:rPr>
        <w:t>em determinado período de tempo, com um plano de expansão e uma evolução</w:t>
      </w:r>
      <w:r w:rsidR="00A23C25">
        <w:rPr>
          <w:rFonts w:ascii="Arial" w:hAnsi="Arial" w:cs="Arial"/>
          <w:sz w:val="18"/>
          <w:szCs w:val="18"/>
        </w:rPr>
        <w:t xml:space="preserve"> anual</w:t>
      </w:r>
      <w:r w:rsidR="00FF0A40" w:rsidRPr="001B6B6E">
        <w:rPr>
          <w:rFonts w:ascii="Arial" w:hAnsi="Arial" w:cs="Arial"/>
          <w:sz w:val="18"/>
          <w:szCs w:val="18"/>
        </w:rPr>
        <w:t xml:space="preserve"> de mercado</w:t>
      </w:r>
      <w:r w:rsidR="00FF0A40">
        <w:rPr>
          <w:rFonts w:ascii="Arial" w:hAnsi="Arial" w:cs="Arial"/>
          <w:sz w:val="18"/>
          <w:szCs w:val="18"/>
        </w:rPr>
        <w:t xml:space="preserve">. </w:t>
      </w:r>
      <w:r w:rsidR="001B6B6E" w:rsidRPr="001B6B6E">
        <w:rPr>
          <w:rFonts w:ascii="Arial" w:hAnsi="Arial" w:cs="Arial"/>
          <w:sz w:val="18"/>
          <w:szCs w:val="18"/>
        </w:rPr>
        <w:t xml:space="preserve">Constata-se </w:t>
      </w:r>
      <w:r w:rsidR="00FF0A40">
        <w:rPr>
          <w:rFonts w:ascii="Arial" w:hAnsi="Arial" w:cs="Arial"/>
          <w:sz w:val="18"/>
          <w:szCs w:val="18"/>
        </w:rPr>
        <w:t>que o PEGEE</w:t>
      </w:r>
      <w:r w:rsidR="001B6B6E" w:rsidRPr="001B6B6E">
        <w:rPr>
          <w:rFonts w:ascii="Arial" w:hAnsi="Arial" w:cs="Arial"/>
          <w:sz w:val="18"/>
          <w:szCs w:val="18"/>
        </w:rPr>
        <w:t xml:space="preserve"> deveria levar em consideração toda a curva, dado que tanto a probabilidade de ocorrência de um déficit, como a sua profundidade, são importantes. No entanto, no mundo real, tal procedimento é bastante complicado ou mesmo impossível. </w:t>
      </w:r>
      <w:r w:rsidR="00A23C25">
        <w:rPr>
          <w:rFonts w:ascii="Arial" w:hAnsi="Arial" w:cs="Arial"/>
          <w:sz w:val="18"/>
          <w:szCs w:val="18"/>
        </w:rPr>
        <w:t xml:space="preserve">Portanto, a primeira abordagem pode calcular a Probabilidade Anual de Deficit (PDEF). </w:t>
      </w:r>
      <w:r w:rsidR="001B6B6E" w:rsidRPr="001B6B6E">
        <w:rPr>
          <w:rFonts w:ascii="Arial" w:hAnsi="Arial" w:cs="Arial"/>
          <w:sz w:val="18"/>
          <w:szCs w:val="18"/>
        </w:rPr>
        <w:t xml:space="preserve">Outra abordagem </w:t>
      </w:r>
      <w:r w:rsidR="00A23C25">
        <w:rPr>
          <w:rFonts w:ascii="Arial" w:hAnsi="Arial" w:cs="Arial"/>
          <w:sz w:val="18"/>
          <w:szCs w:val="18"/>
        </w:rPr>
        <w:t>é baseada no déficit esperado o qual é calculado pela convolução da curva com a reta t</w:t>
      </w:r>
      <w:r w:rsidR="00245133">
        <w:rPr>
          <w:rFonts w:ascii="Arial" w:hAnsi="Arial" w:cs="Arial"/>
          <w:sz w:val="18"/>
          <w:szCs w:val="18"/>
        </w:rPr>
        <w:t>r</w:t>
      </w:r>
      <w:r w:rsidR="00A23C25">
        <w:rPr>
          <w:rFonts w:ascii="Arial" w:hAnsi="Arial" w:cs="Arial"/>
          <w:sz w:val="18"/>
          <w:szCs w:val="18"/>
        </w:rPr>
        <w:t>acejada na figura.</w:t>
      </w:r>
      <w:r w:rsidR="005E23D0">
        <w:rPr>
          <w:rFonts w:ascii="Arial" w:hAnsi="Arial" w:cs="Arial"/>
          <w:sz w:val="18"/>
          <w:szCs w:val="18"/>
        </w:rPr>
        <w:t xml:space="preserve"> Por fim, o último procedimento</w:t>
      </w:r>
      <w:r w:rsidR="00957134">
        <w:rPr>
          <w:rFonts w:ascii="Arial" w:hAnsi="Arial" w:cs="Arial"/>
          <w:sz w:val="18"/>
          <w:szCs w:val="18"/>
        </w:rPr>
        <w:t>, baseado no custo esperado de déficit,</w:t>
      </w:r>
      <w:r w:rsidR="005E23D0">
        <w:rPr>
          <w:rFonts w:ascii="Arial" w:hAnsi="Arial" w:cs="Arial"/>
          <w:sz w:val="18"/>
          <w:szCs w:val="18"/>
        </w:rPr>
        <w:t xml:space="preserve"> </w:t>
      </w:r>
      <w:r w:rsidR="001B6B6E" w:rsidRPr="001B6B6E">
        <w:rPr>
          <w:rFonts w:ascii="Arial" w:hAnsi="Arial" w:cs="Arial"/>
          <w:sz w:val="18"/>
          <w:szCs w:val="18"/>
        </w:rPr>
        <w:t xml:space="preserve">refere-se a convolução </w:t>
      </w:r>
      <w:r w:rsidR="00A23C25">
        <w:rPr>
          <w:rFonts w:ascii="Arial" w:hAnsi="Arial" w:cs="Arial"/>
          <w:sz w:val="18"/>
          <w:szCs w:val="18"/>
        </w:rPr>
        <w:t xml:space="preserve"> </w:t>
      </w:r>
      <w:r w:rsidR="001B6B6E" w:rsidRPr="001B6B6E">
        <w:rPr>
          <w:rFonts w:ascii="Arial" w:hAnsi="Arial" w:cs="Arial"/>
          <w:sz w:val="18"/>
          <w:szCs w:val="18"/>
        </w:rPr>
        <w:t>da função densidade de probabilidade,com a função</w:t>
      </w:r>
      <w:r w:rsidR="00957134">
        <w:rPr>
          <w:rFonts w:ascii="Arial" w:hAnsi="Arial" w:cs="Arial"/>
          <w:sz w:val="18"/>
          <w:szCs w:val="18"/>
        </w:rPr>
        <w:t xml:space="preserve"> c(x)</w:t>
      </w:r>
      <w:r w:rsidR="001B6B6E" w:rsidRPr="001B6B6E">
        <w:rPr>
          <w:rFonts w:ascii="Arial" w:hAnsi="Arial" w:cs="Arial"/>
          <w:sz w:val="18"/>
          <w:szCs w:val="18"/>
        </w:rPr>
        <w:t xml:space="preserve"> </w:t>
      </w:r>
      <w:r w:rsidR="00957134">
        <w:rPr>
          <w:rFonts w:ascii="Arial" w:hAnsi="Arial" w:cs="Arial"/>
          <w:sz w:val="18"/>
          <w:szCs w:val="18"/>
        </w:rPr>
        <w:t>(</w:t>
      </w:r>
      <w:r w:rsidR="001B6B6E" w:rsidRPr="001B6B6E">
        <w:rPr>
          <w:rFonts w:ascii="Arial" w:hAnsi="Arial" w:cs="Arial"/>
          <w:sz w:val="18"/>
          <w:szCs w:val="18"/>
        </w:rPr>
        <w:t>custo unitário de déficit</w:t>
      </w:r>
      <w:r w:rsidR="00957134">
        <w:rPr>
          <w:rFonts w:ascii="Arial" w:hAnsi="Arial" w:cs="Arial"/>
          <w:sz w:val="18"/>
          <w:szCs w:val="18"/>
        </w:rPr>
        <w:t>)</w:t>
      </w:r>
      <w:r w:rsidR="001B6B6E" w:rsidRPr="001B6B6E">
        <w:rPr>
          <w:rFonts w:ascii="Arial" w:hAnsi="Arial" w:cs="Arial"/>
          <w:sz w:val="18"/>
          <w:szCs w:val="18"/>
        </w:rPr>
        <w:t xml:space="preserve">. Cabe observar que qualquer um dos procedimentos </w:t>
      </w:r>
      <w:r w:rsidR="00957134">
        <w:rPr>
          <w:rFonts w:ascii="Arial" w:hAnsi="Arial" w:cs="Arial"/>
          <w:sz w:val="18"/>
          <w:szCs w:val="18"/>
        </w:rPr>
        <w:t>proporacionará uma métrica de risco.</w:t>
      </w:r>
      <w:r w:rsidR="001B6B6E" w:rsidRPr="001B6B6E">
        <w:rPr>
          <w:rFonts w:ascii="Arial" w:hAnsi="Arial" w:cs="Arial"/>
          <w:sz w:val="18"/>
          <w:szCs w:val="18"/>
        </w:rPr>
        <w:t xml:space="preserve"> </w:t>
      </w:r>
    </w:p>
    <w:p w:rsidR="00F87042" w:rsidRDefault="00F87042" w:rsidP="003C519C">
      <w:pPr>
        <w:autoSpaceDE w:val="0"/>
        <w:autoSpaceDN w:val="0"/>
        <w:adjustRightInd w:val="0"/>
        <w:jc w:val="both"/>
        <w:rPr>
          <w:rFonts w:ascii="Arial" w:hAnsi="Arial" w:cs="Arial"/>
          <w:sz w:val="18"/>
          <w:szCs w:val="18"/>
        </w:rPr>
      </w:pPr>
    </w:p>
    <w:p w:rsidR="00F87042" w:rsidRDefault="00F87042" w:rsidP="00F87042">
      <w:pPr>
        <w:autoSpaceDE w:val="0"/>
        <w:autoSpaceDN w:val="0"/>
        <w:adjustRightInd w:val="0"/>
        <w:jc w:val="center"/>
        <w:rPr>
          <w:rFonts w:ascii="Arial" w:hAnsi="Arial" w:cs="Arial"/>
          <w:sz w:val="18"/>
          <w:szCs w:val="18"/>
        </w:rPr>
      </w:pPr>
      <w:r w:rsidRPr="00F87042">
        <w:rPr>
          <w:rFonts w:ascii="Arial" w:hAnsi="Arial" w:cs="Arial"/>
          <w:noProof/>
          <w:sz w:val="18"/>
          <w:szCs w:val="18"/>
        </w:rPr>
        <w:drawing>
          <wp:inline distT="0" distB="0" distL="0" distR="0" wp14:anchorId="7AED08CF" wp14:editId="7277DBDE">
            <wp:extent cx="2532380" cy="2308034"/>
            <wp:effectExtent l="0" t="0" r="1270" b="0"/>
            <wp:docPr id="6" name="Imagem 6" descr="C:\modernização do setor elétrico brasiliero\figura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C:\modernização do setor elétrico brasiliero\figura 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55776" cy="2329357"/>
                    </a:xfrm>
                    <a:prstGeom prst="rect">
                      <a:avLst/>
                    </a:prstGeom>
                    <a:noFill/>
                    <a:ln>
                      <a:noFill/>
                    </a:ln>
                  </pic:spPr>
                </pic:pic>
              </a:graphicData>
            </a:graphic>
          </wp:inline>
        </w:drawing>
      </w:r>
    </w:p>
    <w:p w:rsidR="00F87042" w:rsidRDefault="00F87042" w:rsidP="003C519C">
      <w:pPr>
        <w:autoSpaceDE w:val="0"/>
        <w:autoSpaceDN w:val="0"/>
        <w:adjustRightInd w:val="0"/>
        <w:jc w:val="both"/>
        <w:rPr>
          <w:rFonts w:ascii="Arial" w:hAnsi="Arial" w:cs="Arial"/>
          <w:sz w:val="18"/>
          <w:szCs w:val="18"/>
        </w:rPr>
      </w:pPr>
    </w:p>
    <w:p w:rsidR="00F87042" w:rsidRDefault="00F87042" w:rsidP="00F87042">
      <w:pPr>
        <w:autoSpaceDE w:val="0"/>
        <w:autoSpaceDN w:val="0"/>
        <w:adjustRightInd w:val="0"/>
        <w:jc w:val="center"/>
        <w:rPr>
          <w:rFonts w:ascii="Arial" w:hAnsi="Arial" w:cs="Arial"/>
          <w:sz w:val="18"/>
          <w:szCs w:val="18"/>
        </w:rPr>
      </w:pPr>
      <w:r>
        <w:rPr>
          <w:rFonts w:ascii="Arial" w:hAnsi="Arial" w:cs="Arial"/>
          <w:sz w:val="18"/>
          <w:szCs w:val="18"/>
        </w:rPr>
        <w:t>Figura 1</w:t>
      </w:r>
    </w:p>
    <w:p w:rsidR="00F87042" w:rsidRDefault="00F87042" w:rsidP="00F87042">
      <w:pPr>
        <w:autoSpaceDE w:val="0"/>
        <w:autoSpaceDN w:val="0"/>
        <w:adjustRightInd w:val="0"/>
        <w:jc w:val="center"/>
        <w:rPr>
          <w:rFonts w:ascii="Arial" w:hAnsi="Arial" w:cs="Arial"/>
          <w:sz w:val="18"/>
          <w:szCs w:val="18"/>
        </w:rPr>
      </w:pPr>
      <w:r>
        <w:rPr>
          <w:rFonts w:ascii="Arial" w:hAnsi="Arial" w:cs="Arial"/>
          <w:sz w:val="18"/>
          <w:szCs w:val="18"/>
        </w:rPr>
        <w:t>Funç</w:t>
      </w:r>
      <w:r w:rsidR="005E23D0">
        <w:rPr>
          <w:rFonts w:ascii="Arial" w:hAnsi="Arial" w:cs="Arial"/>
          <w:sz w:val="18"/>
          <w:szCs w:val="18"/>
        </w:rPr>
        <w:t>ão De</w:t>
      </w:r>
      <w:r>
        <w:rPr>
          <w:rFonts w:ascii="Arial" w:hAnsi="Arial" w:cs="Arial"/>
          <w:sz w:val="18"/>
          <w:szCs w:val="18"/>
        </w:rPr>
        <w:t>nsidade de probabilidade</w:t>
      </w:r>
    </w:p>
    <w:p w:rsidR="0020024B" w:rsidRDefault="0020024B" w:rsidP="003C519C">
      <w:pPr>
        <w:autoSpaceDE w:val="0"/>
        <w:autoSpaceDN w:val="0"/>
        <w:adjustRightInd w:val="0"/>
        <w:jc w:val="both"/>
        <w:rPr>
          <w:rFonts w:ascii="Arial" w:hAnsi="Arial" w:cs="Arial"/>
          <w:sz w:val="18"/>
          <w:szCs w:val="18"/>
        </w:rPr>
      </w:pPr>
    </w:p>
    <w:p w:rsidR="005E23D0" w:rsidRDefault="005E23D0" w:rsidP="005E23D0">
      <w:pPr>
        <w:autoSpaceDE w:val="0"/>
        <w:autoSpaceDN w:val="0"/>
        <w:adjustRightInd w:val="0"/>
        <w:jc w:val="both"/>
        <w:rPr>
          <w:rFonts w:ascii="Arial" w:hAnsi="Arial" w:cs="Arial"/>
          <w:sz w:val="18"/>
          <w:szCs w:val="18"/>
        </w:rPr>
      </w:pPr>
      <w:r>
        <w:rPr>
          <w:rFonts w:ascii="Arial" w:hAnsi="Arial" w:cs="Arial"/>
          <w:sz w:val="18"/>
          <w:szCs w:val="18"/>
        </w:rPr>
        <w:t xml:space="preserve">Os enfoques apresentados </w:t>
      </w:r>
      <w:r w:rsidRPr="001B6B6E">
        <w:rPr>
          <w:rFonts w:ascii="Arial" w:hAnsi="Arial" w:cs="Arial"/>
          <w:sz w:val="18"/>
          <w:szCs w:val="18"/>
        </w:rPr>
        <w:t>fizeram com que fossem desenvolvidos dois métodos:</w:t>
      </w:r>
    </w:p>
    <w:p w:rsidR="00957134" w:rsidRDefault="00957134" w:rsidP="005E23D0">
      <w:pPr>
        <w:autoSpaceDE w:val="0"/>
        <w:autoSpaceDN w:val="0"/>
        <w:adjustRightInd w:val="0"/>
        <w:jc w:val="both"/>
        <w:rPr>
          <w:rFonts w:ascii="Arial" w:hAnsi="Arial" w:cs="Arial"/>
          <w:sz w:val="18"/>
          <w:szCs w:val="18"/>
        </w:rPr>
      </w:pPr>
    </w:p>
    <w:p w:rsidR="00957134" w:rsidRPr="00957134" w:rsidRDefault="00957134" w:rsidP="00957134">
      <w:pPr>
        <w:pStyle w:val="Ttulo3"/>
        <w:jc w:val="left"/>
        <w:rPr>
          <w:sz w:val="18"/>
          <w:szCs w:val="18"/>
        </w:rPr>
      </w:pPr>
      <w:r w:rsidRPr="00957134">
        <w:rPr>
          <w:sz w:val="18"/>
          <w:szCs w:val="18"/>
          <w14:shadow w14:blurRad="0" w14:dist="0" w14:dir="0" w14:sx="0" w14:sy="0" w14:kx="0" w14:ky="0" w14:algn="none">
            <w14:srgbClr w14:val="000000"/>
          </w14:shadow>
        </w:rPr>
        <w:t>3.2.1</w:t>
      </w:r>
      <w:r>
        <w:rPr>
          <w:sz w:val="18"/>
          <w:szCs w:val="18"/>
          <w14:shadow w14:blurRad="0" w14:dist="0" w14:dir="0" w14:sx="0" w14:sy="0" w14:kx="0" w14:ky="0" w14:algn="none">
            <w14:srgbClr w14:val="000000"/>
          </w14:shadow>
        </w:rPr>
        <w:t xml:space="preserve"> Método Baseado nos Custos Marginais</w:t>
      </w:r>
    </w:p>
    <w:p w:rsidR="005E23D0" w:rsidRDefault="005E23D0" w:rsidP="003C519C">
      <w:pPr>
        <w:autoSpaceDE w:val="0"/>
        <w:autoSpaceDN w:val="0"/>
        <w:adjustRightInd w:val="0"/>
        <w:jc w:val="both"/>
        <w:rPr>
          <w:rFonts w:ascii="Arial" w:hAnsi="Arial" w:cs="Arial"/>
          <w:sz w:val="18"/>
          <w:szCs w:val="18"/>
        </w:rPr>
      </w:pPr>
    </w:p>
    <w:p w:rsidR="00C66509" w:rsidRDefault="00957134" w:rsidP="00245133">
      <w:pPr>
        <w:autoSpaceDE w:val="0"/>
        <w:autoSpaceDN w:val="0"/>
        <w:adjustRightInd w:val="0"/>
        <w:spacing w:line="360" w:lineRule="auto"/>
        <w:jc w:val="both"/>
        <w:rPr>
          <w:rFonts w:ascii="Arial" w:hAnsi="Arial" w:cs="Arial"/>
          <w:sz w:val="18"/>
          <w:szCs w:val="18"/>
        </w:rPr>
      </w:pPr>
      <w:r w:rsidRPr="00957134">
        <w:rPr>
          <w:rFonts w:ascii="Arial" w:hAnsi="Arial" w:cs="Arial"/>
          <w:sz w:val="18"/>
          <w:szCs w:val="18"/>
        </w:rPr>
        <w:t>A presente linha de pensamento supõe conhecido o valor econômico do nã</w:t>
      </w:r>
      <w:r w:rsidR="00C66509">
        <w:rPr>
          <w:rFonts w:ascii="Arial" w:hAnsi="Arial" w:cs="Arial"/>
          <w:sz w:val="18"/>
          <w:szCs w:val="18"/>
        </w:rPr>
        <w:t>o atendimento ao mercado e tem</w:t>
      </w:r>
      <w:r w:rsidRPr="00957134">
        <w:rPr>
          <w:rFonts w:ascii="Arial" w:hAnsi="Arial" w:cs="Arial"/>
          <w:sz w:val="18"/>
          <w:szCs w:val="18"/>
        </w:rPr>
        <w:t xml:space="preserve"> como objetivo a minimização do custo de operação do sistema. Portanto, incrementos na carga de um sistema implica em aumentos nos custos marginais de operação em razão da elevação dos níveis médios de geração de classes térmicas e dos valores esperados de déficits. Logo, a Energia Garantida é definida, para este método, como a carga que iguala os custos marginais esperados de curto e longo prazos do sistema</w:t>
      </w:r>
      <w:r>
        <w:rPr>
          <w:rFonts w:ascii="Arial" w:hAnsi="Arial" w:cs="Arial"/>
          <w:sz w:val="18"/>
          <w:szCs w:val="18"/>
        </w:rPr>
        <w:t xml:space="preserve"> (cf</w:t>
      </w:r>
      <w:r w:rsidR="00245133">
        <w:rPr>
          <w:rFonts w:ascii="Arial" w:hAnsi="Arial" w:cs="Arial"/>
          <w:sz w:val="18"/>
          <w:szCs w:val="18"/>
        </w:rPr>
        <w:t>.</w:t>
      </w:r>
      <w:r>
        <w:rPr>
          <w:rFonts w:ascii="Arial" w:hAnsi="Arial" w:cs="Arial"/>
          <w:sz w:val="18"/>
          <w:szCs w:val="18"/>
        </w:rPr>
        <w:t xml:space="preserve"> </w:t>
      </w:r>
      <w:r w:rsidR="00245133">
        <w:rPr>
          <w:rFonts w:ascii="Arial" w:hAnsi="Arial" w:cs="Arial"/>
          <w:sz w:val="18"/>
          <w:szCs w:val="18"/>
        </w:rPr>
        <w:t>4</w:t>
      </w:r>
      <w:r>
        <w:rPr>
          <w:rFonts w:ascii="Arial" w:hAnsi="Arial" w:cs="Arial"/>
          <w:sz w:val="18"/>
          <w:szCs w:val="18"/>
        </w:rPr>
        <w:t>)</w:t>
      </w:r>
      <w:r w:rsidRPr="00957134">
        <w:rPr>
          <w:rFonts w:ascii="Arial" w:hAnsi="Arial" w:cs="Arial"/>
          <w:sz w:val="18"/>
          <w:szCs w:val="18"/>
        </w:rPr>
        <w:t xml:space="preserve">. Neste ponto, para qualquer incremento da carga, será mais econômico a antecipação de um projeto de geração. As desvantagens dessa abordagem estão associados à: </w:t>
      </w:r>
    </w:p>
    <w:p w:rsidR="00C66509" w:rsidRDefault="00C66509" w:rsidP="00957134">
      <w:pPr>
        <w:autoSpaceDE w:val="0"/>
        <w:autoSpaceDN w:val="0"/>
        <w:adjustRightInd w:val="0"/>
        <w:jc w:val="both"/>
        <w:rPr>
          <w:rFonts w:ascii="Arial" w:hAnsi="Arial" w:cs="Arial"/>
          <w:sz w:val="18"/>
          <w:szCs w:val="18"/>
        </w:rPr>
      </w:pPr>
    </w:p>
    <w:p w:rsidR="00C66509" w:rsidRDefault="00C66509" w:rsidP="00957134">
      <w:pPr>
        <w:autoSpaceDE w:val="0"/>
        <w:autoSpaceDN w:val="0"/>
        <w:adjustRightInd w:val="0"/>
        <w:jc w:val="both"/>
        <w:rPr>
          <w:rFonts w:ascii="Arial" w:hAnsi="Arial" w:cs="Arial"/>
          <w:sz w:val="18"/>
          <w:szCs w:val="18"/>
        </w:rPr>
      </w:pPr>
      <w:r>
        <w:rPr>
          <w:rFonts w:ascii="Arial" w:hAnsi="Arial" w:cs="Arial"/>
          <w:sz w:val="18"/>
          <w:szCs w:val="18"/>
        </w:rPr>
        <w:t>i) D</w:t>
      </w:r>
      <w:r w:rsidR="00957134" w:rsidRPr="00957134">
        <w:rPr>
          <w:rFonts w:ascii="Arial" w:hAnsi="Arial" w:cs="Arial"/>
          <w:sz w:val="18"/>
          <w:szCs w:val="18"/>
        </w:rPr>
        <w:t>ificuldade em avaliar o custo social do déficit</w:t>
      </w:r>
      <w:r w:rsidR="00957134">
        <w:rPr>
          <w:rFonts w:ascii="Arial" w:hAnsi="Arial" w:cs="Arial"/>
          <w:sz w:val="18"/>
          <w:szCs w:val="18"/>
        </w:rPr>
        <w:t xml:space="preserve"> (cf. </w:t>
      </w:r>
      <w:r w:rsidR="00245133">
        <w:rPr>
          <w:rFonts w:ascii="Arial" w:hAnsi="Arial" w:cs="Arial"/>
          <w:sz w:val="18"/>
          <w:szCs w:val="18"/>
        </w:rPr>
        <w:t>5</w:t>
      </w:r>
      <w:r w:rsidR="00957134">
        <w:rPr>
          <w:rFonts w:ascii="Arial" w:hAnsi="Arial" w:cs="Arial"/>
          <w:sz w:val="18"/>
          <w:szCs w:val="18"/>
        </w:rPr>
        <w:t>)</w:t>
      </w:r>
      <w:r w:rsidR="00957134" w:rsidRPr="00957134">
        <w:rPr>
          <w:rFonts w:ascii="Arial" w:hAnsi="Arial" w:cs="Arial"/>
          <w:sz w:val="18"/>
          <w:szCs w:val="18"/>
        </w:rPr>
        <w:t xml:space="preserve"> para a economia brasileira;</w:t>
      </w:r>
    </w:p>
    <w:p w:rsidR="00C66509" w:rsidRDefault="00957134" w:rsidP="00957134">
      <w:pPr>
        <w:autoSpaceDE w:val="0"/>
        <w:autoSpaceDN w:val="0"/>
        <w:adjustRightInd w:val="0"/>
        <w:jc w:val="both"/>
        <w:rPr>
          <w:rFonts w:ascii="Arial" w:hAnsi="Arial" w:cs="Arial"/>
          <w:sz w:val="18"/>
          <w:szCs w:val="18"/>
        </w:rPr>
      </w:pPr>
      <w:r w:rsidRPr="00957134">
        <w:rPr>
          <w:rFonts w:ascii="Arial" w:hAnsi="Arial" w:cs="Arial"/>
          <w:sz w:val="18"/>
          <w:szCs w:val="18"/>
        </w:rPr>
        <w:t xml:space="preserve"> </w:t>
      </w:r>
    </w:p>
    <w:p w:rsidR="00C66509" w:rsidRDefault="00C66509" w:rsidP="00957134">
      <w:pPr>
        <w:autoSpaceDE w:val="0"/>
        <w:autoSpaceDN w:val="0"/>
        <w:adjustRightInd w:val="0"/>
        <w:jc w:val="both"/>
        <w:rPr>
          <w:rFonts w:ascii="Arial" w:hAnsi="Arial" w:cs="Arial"/>
          <w:sz w:val="18"/>
          <w:szCs w:val="18"/>
        </w:rPr>
      </w:pPr>
      <w:r>
        <w:rPr>
          <w:rFonts w:ascii="Arial" w:hAnsi="Arial" w:cs="Arial"/>
          <w:sz w:val="18"/>
          <w:szCs w:val="18"/>
        </w:rPr>
        <w:t>ii) I</w:t>
      </w:r>
      <w:r w:rsidR="00957134" w:rsidRPr="00957134">
        <w:rPr>
          <w:rFonts w:ascii="Arial" w:hAnsi="Arial" w:cs="Arial"/>
          <w:sz w:val="18"/>
          <w:szCs w:val="18"/>
        </w:rPr>
        <w:t xml:space="preserve">mpossibilidade em oferecer a mesma qualidade de serviços em todas as regiões dada a constância da função custo de déficit enquanto o custo da energia é crescente; </w:t>
      </w:r>
    </w:p>
    <w:p w:rsidR="00C66509" w:rsidRDefault="00C66509" w:rsidP="00957134">
      <w:pPr>
        <w:autoSpaceDE w:val="0"/>
        <w:autoSpaceDN w:val="0"/>
        <w:adjustRightInd w:val="0"/>
        <w:jc w:val="both"/>
        <w:rPr>
          <w:rFonts w:ascii="Arial" w:hAnsi="Arial" w:cs="Arial"/>
          <w:sz w:val="18"/>
          <w:szCs w:val="18"/>
        </w:rPr>
      </w:pPr>
    </w:p>
    <w:p w:rsidR="00F87042" w:rsidRDefault="00C66509" w:rsidP="00957134">
      <w:pPr>
        <w:autoSpaceDE w:val="0"/>
        <w:autoSpaceDN w:val="0"/>
        <w:adjustRightInd w:val="0"/>
        <w:jc w:val="both"/>
        <w:rPr>
          <w:rFonts w:ascii="Arial" w:hAnsi="Arial" w:cs="Arial"/>
          <w:sz w:val="18"/>
          <w:szCs w:val="18"/>
        </w:rPr>
      </w:pPr>
      <w:r>
        <w:rPr>
          <w:rFonts w:ascii="Arial" w:hAnsi="Arial" w:cs="Arial"/>
          <w:sz w:val="18"/>
          <w:szCs w:val="18"/>
        </w:rPr>
        <w:t>iii) I</w:t>
      </w:r>
      <w:r w:rsidR="00957134" w:rsidRPr="00957134">
        <w:rPr>
          <w:rFonts w:ascii="Arial" w:hAnsi="Arial" w:cs="Arial"/>
          <w:sz w:val="18"/>
          <w:szCs w:val="18"/>
        </w:rPr>
        <w:t>nflexibilidade no sentido de que o procedimento apresenta um único plano de expansão.</w:t>
      </w:r>
    </w:p>
    <w:p w:rsidR="00C66509" w:rsidRDefault="00C66509" w:rsidP="00957134">
      <w:pPr>
        <w:autoSpaceDE w:val="0"/>
        <w:autoSpaceDN w:val="0"/>
        <w:adjustRightInd w:val="0"/>
        <w:jc w:val="both"/>
        <w:rPr>
          <w:rFonts w:ascii="Arial" w:hAnsi="Arial" w:cs="Arial"/>
          <w:sz w:val="18"/>
          <w:szCs w:val="18"/>
        </w:rPr>
      </w:pPr>
    </w:p>
    <w:p w:rsidR="0041501F" w:rsidRDefault="0041501F" w:rsidP="00957134">
      <w:pPr>
        <w:autoSpaceDE w:val="0"/>
        <w:autoSpaceDN w:val="0"/>
        <w:adjustRightInd w:val="0"/>
        <w:jc w:val="both"/>
        <w:rPr>
          <w:rFonts w:ascii="Arial" w:hAnsi="Arial" w:cs="Arial"/>
          <w:sz w:val="18"/>
          <w:szCs w:val="18"/>
        </w:rPr>
      </w:pPr>
      <w:r>
        <w:rPr>
          <w:rFonts w:ascii="Arial" w:hAnsi="Arial" w:cs="Arial"/>
          <w:sz w:val="18"/>
          <w:szCs w:val="18"/>
        </w:rPr>
        <w:lastRenderedPageBreak/>
        <w:t xml:space="preserve">A Figura 2 reproduz imagem apresentada por </w:t>
      </w:r>
      <w:r w:rsidR="00BD7160">
        <w:rPr>
          <w:rFonts w:ascii="Arial" w:hAnsi="Arial" w:cs="Arial"/>
          <w:sz w:val="18"/>
          <w:szCs w:val="18"/>
        </w:rPr>
        <w:t>(5) a respeito da</w:t>
      </w:r>
      <w:r>
        <w:rPr>
          <w:rFonts w:ascii="Arial" w:hAnsi="Arial" w:cs="Arial"/>
          <w:sz w:val="18"/>
          <w:szCs w:val="18"/>
        </w:rPr>
        <w:t xml:space="preserve"> evolução do custo marginal de operação do sistema com sua carga bem como sua associação com a energia garantida</w:t>
      </w:r>
    </w:p>
    <w:p w:rsidR="00C66509" w:rsidRDefault="00C66509" w:rsidP="00957134">
      <w:pPr>
        <w:autoSpaceDE w:val="0"/>
        <w:autoSpaceDN w:val="0"/>
        <w:adjustRightInd w:val="0"/>
        <w:jc w:val="both"/>
        <w:rPr>
          <w:rFonts w:ascii="Arial" w:hAnsi="Arial" w:cs="Arial"/>
          <w:sz w:val="18"/>
          <w:szCs w:val="18"/>
        </w:rPr>
      </w:pPr>
    </w:p>
    <w:p w:rsidR="00C66509" w:rsidRDefault="0041501F" w:rsidP="0041501F">
      <w:pPr>
        <w:autoSpaceDE w:val="0"/>
        <w:autoSpaceDN w:val="0"/>
        <w:adjustRightInd w:val="0"/>
        <w:jc w:val="center"/>
        <w:rPr>
          <w:rFonts w:ascii="Arial" w:hAnsi="Arial" w:cs="Arial"/>
          <w:sz w:val="18"/>
          <w:szCs w:val="18"/>
        </w:rPr>
      </w:pPr>
      <w:r w:rsidRPr="0041501F">
        <w:rPr>
          <w:rFonts w:ascii="Arial" w:hAnsi="Arial" w:cs="Arial"/>
          <w:noProof/>
          <w:sz w:val="18"/>
          <w:szCs w:val="18"/>
        </w:rPr>
        <w:drawing>
          <wp:inline distT="0" distB="0" distL="0" distR="0">
            <wp:extent cx="2544896" cy="1758655"/>
            <wp:effectExtent l="0" t="0" r="8255" b="0"/>
            <wp:docPr id="8" name="Imagem 8" descr="C:\modernização do setor elétrico brasiliero\figura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C:\modernização do setor elétrico brasiliero\figura 2.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3516" cy="1778433"/>
                    </a:xfrm>
                    <a:prstGeom prst="rect">
                      <a:avLst/>
                    </a:prstGeom>
                    <a:noFill/>
                    <a:ln>
                      <a:noFill/>
                    </a:ln>
                  </pic:spPr>
                </pic:pic>
              </a:graphicData>
            </a:graphic>
          </wp:inline>
        </w:drawing>
      </w:r>
    </w:p>
    <w:p w:rsidR="0041501F" w:rsidRDefault="0041501F" w:rsidP="0041501F">
      <w:pPr>
        <w:autoSpaceDE w:val="0"/>
        <w:autoSpaceDN w:val="0"/>
        <w:adjustRightInd w:val="0"/>
        <w:jc w:val="center"/>
        <w:rPr>
          <w:rFonts w:ascii="Arial" w:hAnsi="Arial" w:cs="Arial"/>
          <w:sz w:val="18"/>
          <w:szCs w:val="18"/>
        </w:rPr>
      </w:pPr>
      <w:r>
        <w:rPr>
          <w:rFonts w:ascii="Arial" w:hAnsi="Arial" w:cs="Arial"/>
          <w:sz w:val="18"/>
          <w:szCs w:val="18"/>
        </w:rPr>
        <w:t>Figura 2</w:t>
      </w:r>
    </w:p>
    <w:p w:rsidR="00F87042" w:rsidRDefault="00F87042" w:rsidP="00F87042">
      <w:pPr>
        <w:autoSpaceDE w:val="0"/>
        <w:autoSpaceDN w:val="0"/>
        <w:adjustRightInd w:val="0"/>
        <w:jc w:val="center"/>
        <w:rPr>
          <w:rFonts w:ascii="Arial" w:hAnsi="Arial" w:cs="Arial"/>
          <w:sz w:val="18"/>
          <w:szCs w:val="18"/>
        </w:rPr>
      </w:pPr>
    </w:p>
    <w:p w:rsidR="00F87042" w:rsidRDefault="00C66509" w:rsidP="00957134">
      <w:pPr>
        <w:pStyle w:val="Ttulo3"/>
        <w:jc w:val="left"/>
        <w:rPr>
          <w:sz w:val="18"/>
          <w:szCs w:val="18"/>
          <w14:shadow w14:blurRad="0" w14:dist="0" w14:dir="0" w14:sx="0" w14:sy="0" w14:kx="0" w14:ky="0" w14:algn="none">
            <w14:srgbClr w14:val="000000"/>
          </w14:shadow>
        </w:rPr>
      </w:pPr>
      <w:r>
        <w:rPr>
          <w:sz w:val="18"/>
          <w:szCs w:val="18"/>
          <w14:shadow w14:blurRad="0" w14:dist="0" w14:dir="0" w14:sx="0" w14:sy="0" w14:kx="0" w14:ky="0" w14:algn="none">
            <w14:srgbClr w14:val="000000"/>
          </w14:shadow>
        </w:rPr>
        <w:t>3.2.2</w:t>
      </w:r>
      <w:r w:rsidR="00957134" w:rsidRPr="00957134">
        <w:rPr>
          <w:sz w:val="18"/>
          <w:szCs w:val="18"/>
          <w14:shadow w14:blurRad="0" w14:dist="0" w14:dir="0" w14:sx="0" w14:sy="0" w14:kx="0" w14:ky="0" w14:algn="none">
            <w14:srgbClr w14:val="000000"/>
          </w14:shadow>
        </w:rPr>
        <w:t xml:space="preserve"> Método Baseado no Risco Anual de Déficit de Energia</w:t>
      </w:r>
    </w:p>
    <w:p w:rsidR="00957134" w:rsidRDefault="00957134" w:rsidP="00957134"/>
    <w:p w:rsidR="00C66509" w:rsidRDefault="00C66509" w:rsidP="00245133">
      <w:pPr>
        <w:autoSpaceDE w:val="0"/>
        <w:autoSpaceDN w:val="0"/>
        <w:adjustRightInd w:val="0"/>
        <w:spacing w:line="360" w:lineRule="auto"/>
        <w:jc w:val="both"/>
        <w:rPr>
          <w:rFonts w:ascii="Arial" w:hAnsi="Arial" w:cs="Arial"/>
          <w:sz w:val="18"/>
          <w:szCs w:val="18"/>
        </w:rPr>
      </w:pPr>
      <w:r w:rsidRPr="00C66509">
        <w:rPr>
          <w:rFonts w:ascii="Arial" w:hAnsi="Arial" w:cs="Arial"/>
          <w:sz w:val="18"/>
          <w:szCs w:val="18"/>
        </w:rPr>
        <w:t>O risco anual de déficit de energia é a probabilidade de o sistema não atender a sua carga ao longo de um ano. Portanto, define-se a Energia Garantida a x% como aquela que resulta numa PDEF igual a (100-x)/100, onde o x% é denominado garantia do sistema. O uso do PDEF está relacionado ao fato do período anual não ser afetado por transferências de déficits de outros períodos, tal como ocorre se as decisões de operações fossem mensais (eg. racionamento preventivo). A PDEF é estimada a partir de modelos de simulação que operam milhares de sequências de energias afluentes que preservam as características estatísticas contidas no registro histórico. Portanto, seu cálculo é dado pela razão entre o número de sequências com déficit no ano e o número de sequências simuladas. As vantagens de uti</w:t>
      </w:r>
      <w:r>
        <w:rPr>
          <w:rFonts w:ascii="Arial" w:hAnsi="Arial" w:cs="Arial"/>
          <w:sz w:val="18"/>
          <w:szCs w:val="18"/>
        </w:rPr>
        <w:t>lizar o referido critério são</w:t>
      </w:r>
      <w:r w:rsidRPr="00C66509">
        <w:rPr>
          <w:rFonts w:ascii="Arial" w:hAnsi="Arial" w:cs="Arial"/>
          <w:sz w:val="18"/>
          <w:szCs w:val="18"/>
        </w:rPr>
        <w:t>:</w:t>
      </w:r>
    </w:p>
    <w:p w:rsidR="00C66509" w:rsidRPr="00C66509" w:rsidRDefault="00C66509" w:rsidP="00C66509">
      <w:pPr>
        <w:autoSpaceDE w:val="0"/>
        <w:autoSpaceDN w:val="0"/>
        <w:adjustRightInd w:val="0"/>
        <w:jc w:val="both"/>
        <w:rPr>
          <w:rFonts w:ascii="Arial" w:hAnsi="Arial" w:cs="Arial"/>
          <w:sz w:val="18"/>
          <w:szCs w:val="18"/>
        </w:rPr>
      </w:pPr>
    </w:p>
    <w:p w:rsidR="00C66509" w:rsidRDefault="00C66509" w:rsidP="00C66509">
      <w:pPr>
        <w:pStyle w:val="PargrafodaLista"/>
        <w:numPr>
          <w:ilvl w:val="0"/>
          <w:numId w:val="35"/>
        </w:numPr>
        <w:autoSpaceDE w:val="0"/>
        <w:autoSpaceDN w:val="0"/>
        <w:adjustRightInd w:val="0"/>
        <w:ind w:left="284" w:hanging="284"/>
        <w:jc w:val="both"/>
        <w:rPr>
          <w:rFonts w:ascii="Arial" w:hAnsi="Arial" w:cs="Arial"/>
          <w:sz w:val="18"/>
          <w:szCs w:val="18"/>
        </w:rPr>
      </w:pPr>
      <w:r w:rsidRPr="00C66509">
        <w:rPr>
          <w:rFonts w:ascii="Arial" w:hAnsi="Arial" w:cs="Arial"/>
          <w:sz w:val="18"/>
          <w:szCs w:val="18"/>
        </w:rPr>
        <w:t>Apresenta uma característica intuitiva, uma vez que o risco de déficit é uma medida palpável da qualidade de atendimento;</w:t>
      </w:r>
    </w:p>
    <w:p w:rsidR="00C66509" w:rsidRPr="00C66509" w:rsidRDefault="00C66509" w:rsidP="00C66509">
      <w:pPr>
        <w:pStyle w:val="PargrafodaLista"/>
        <w:autoSpaceDE w:val="0"/>
        <w:autoSpaceDN w:val="0"/>
        <w:adjustRightInd w:val="0"/>
        <w:ind w:left="284"/>
        <w:jc w:val="both"/>
        <w:rPr>
          <w:rFonts w:ascii="Arial" w:hAnsi="Arial" w:cs="Arial"/>
          <w:sz w:val="18"/>
          <w:szCs w:val="18"/>
        </w:rPr>
      </w:pPr>
      <w:r w:rsidRPr="00C66509">
        <w:rPr>
          <w:rFonts w:ascii="Arial" w:hAnsi="Arial" w:cs="Arial"/>
          <w:sz w:val="18"/>
          <w:szCs w:val="18"/>
        </w:rPr>
        <w:t xml:space="preserve"> </w:t>
      </w:r>
    </w:p>
    <w:p w:rsidR="00C66509" w:rsidRDefault="00C66509" w:rsidP="00C66509">
      <w:pPr>
        <w:pStyle w:val="PargrafodaLista"/>
        <w:numPr>
          <w:ilvl w:val="0"/>
          <w:numId w:val="35"/>
        </w:numPr>
        <w:autoSpaceDE w:val="0"/>
        <w:autoSpaceDN w:val="0"/>
        <w:adjustRightInd w:val="0"/>
        <w:ind w:left="284" w:hanging="284"/>
        <w:jc w:val="both"/>
        <w:rPr>
          <w:rFonts w:ascii="Arial" w:hAnsi="Arial" w:cs="Arial"/>
          <w:sz w:val="18"/>
          <w:szCs w:val="18"/>
        </w:rPr>
      </w:pPr>
      <w:r w:rsidRPr="00C66509">
        <w:rPr>
          <w:rFonts w:ascii="Arial" w:hAnsi="Arial" w:cs="Arial"/>
          <w:sz w:val="18"/>
          <w:szCs w:val="18"/>
        </w:rPr>
        <w:t>Pode oferecer a mesma qualidade de atendimento em todos os subsistemas e períodos ao contrário do critério anterior em que a função custo de déficit é constante enquanto o custo da energia é crescente;</w:t>
      </w:r>
    </w:p>
    <w:p w:rsidR="00C66509" w:rsidRPr="00C66509" w:rsidRDefault="00C66509" w:rsidP="00C66509">
      <w:pPr>
        <w:pStyle w:val="PargrafodaLista"/>
        <w:rPr>
          <w:rFonts w:ascii="Arial" w:hAnsi="Arial" w:cs="Arial"/>
          <w:sz w:val="18"/>
          <w:szCs w:val="18"/>
        </w:rPr>
      </w:pPr>
    </w:p>
    <w:p w:rsidR="00C66509" w:rsidRDefault="00C66509" w:rsidP="00C66509">
      <w:pPr>
        <w:pStyle w:val="PargrafodaLista"/>
        <w:numPr>
          <w:ilvl w:val="0"/>
          <w:numId w:val="35"/>
        </w:numPr>
        <w:autoSpaceDE w:val="0"/>
        <w:autoSpaceDN w:val="0"/>
        <w:adjustRightInd w:val="0"/>
        <w:ind w:left="284" w:hanging="284"/>
        <w:jc w:val="both"/>
        <w:rPr>
          <w:rFonts w:ascii="Arial" w:hAnsi="Arial" w:cs="Arial"/>
          <w:sz w:val="18"/>
          <w:szCs w:val="18"/>
        </w:rPr>
      </w:pPr>
      <w:r w:rsidRPr="00C66509">
        <w:rPr>
          <w:rFonts w:ascii="Arial" w:hAnsi="Arial" w:cs="Arial"/>
          <w:sz w:val="18"/>
          <w:szCs w:val="18"/>
        </w:rPr>
        <w:t>Existe uma analogia entre Energia Garantida x% e a Energia Firme calculada no critério tradicional;</w:t>
      </w:r>
    </w:p>
    <w:p w:rsidR="00C66509" w:rsidRPr="00C66509" w:rsidRDefault="00C66509" w:rsidP="00C66509">
      <w:pPr>
        <w:pStyle w:val="PargrafodaLista"/>
        <w:rPr>
          <w:rFonts w:ascii="Arial" w:hAnsi="Arial" w:cs="Arial"/>
          <w:sz w:val="18"/>
          <w:szCs w:val="18"/>
        </w:rPr>
      </w:pPr>
    </w:p>
    <w:p w:rsidR="00957134" w:rsidRDefault="00C66509" w:rsidP="00C66509">
      <w:pPr>
        <w:pStyle w:val="PargrafodaLista"/>
        <w:numPr>
          <w:ilvl w:val="0"/>
          <w:numId w:val="35"/>
        </w:numPr>
        <w:autoSpaceDE w:val="0"/>
        <w:autoSpaceDN w:val="0"/>
        <w:adjustRightInd w:val="0"/>
        <w:ind w:left="284" w:hanging="284"/>
        <w:jc w:val="both"/>
        <w:rPr>
          <w:rFonts w:ascii="Arial" w:hAnsi="Arial" w:cs="Arial"/>
          <w:sz w:val="18"/>
          <w:szCs w:val="18"/>
        </w:rPr>
      </w:pPr>
      <w:r w:rsidRPr="00C66509">
        <w:rPr>
          <w:rFonts w:ascii="Arial" w:hAnsi="Arial" w:cs="Arial"/>
          <w:sz w:val="18"/>
          <w:szCs w:val="18"/>
        </w:rPr>
        <w:t>Permite que seja calculado um custo implícito de déficit (cf</w:t>
      </w:r>
      <w:r w:rsidR="00245133">
        <w:rPr>
          <w:rFonts w:ascii="Arial" w:hAnsi="Arial" w:cs="Arial"/>
          <w:sz w:val="18"/>
          <w:szCs w:val="18"/>
        </w:rPr>
        <w:t>.</w:t>
      </w:r>
      <w:r w:rsidRPr="00C66509">
        <w:rPr>
          <w:rFonts w:ascii="Arial" w:hAnsi="Arial" w:cs="Arial"/>
          <w:sz w:val="18"/>
          <w:szCs w:val="18"/>
        </w:rPr>
        <w:t xml:space="preserve"> </w:t>
      </w:r>
      <w:r w:rsidR="00245133">
        <w:rPr>
          <w:rFonts w:ascii="Arial" w:hAnsi="Arial" w:cs="Arial"/>
          <w:sz w:val="18"/>
          <w:szCs w:val="18"/>
        </w:rPr>
        <w:t>4</w:t>
      </w:r>
      <w:r w:rsidRPr="00C66509">
        <w:rPr>
          <w:rFonts w:ascii="Arial" w:hAnsi="Arial" w:cs="Arial"/>
          <w:sz w:val="18"/>
          <w:szCs w:val="18"/>
        </w:rPr>
        <w:t>) e que o mesmo possa ser utilizado no cálculo de políticas de operação térmica.</w:t>
      </w:r>
    </w:p>
    <w:p w:rsidR="00BD7160" w:rsidRPr="00BD7160" w:rsidRDefault="00BD7160" w:rsidP="00BD7160">
      <w:pPr>
        <w:pStyle w:val="PargrafodaLista"/>
        <w:rPr>
          <w:rFonts w:ascii="Arial" w:hAnsi="Arial" w:cs="Arial"/>
          <w:sz w:val="18"/>
          <w:szCs w:val="18"/>
        </w:rPr>
      </w:pPr>
    </w:p>
    <w:p w:rsidR="00E03442" w:rsidRDefault="00BD7160" w:rsidP="00BD7160">
      <w:pPr>
        <w:autoSpaceDE w:val="0"/>
        <w:autoSpaceDN w:val="0"/>
        <w:adjustRightInd w:val="0"/>
        <w:jc w:val="both"/>
        <w:rPr>
          <w:rFonts w:ascii="Arial" w:hAnsi="Arial" w:cs="Arial"/>
          <w:sz w:val="18"/>
          <w:szCs w:val="18"/>
        </w:rPr>
      </w:pPr>
      <w:r>
        <w:rPr>
          <w:rFonts w:ascii="Arial" w:hAnsi="Arial" w:cs="Arial"/>
          <w:sz w:val="18"/>
          <w:szCs w:val="18"/>
        </w:rPr>
        <w:t>Diante das razões apresentada</w:t>
      </w:r>
      <w:r w:rsidR="00245133">
        <w:rPr>
          <w:rFonts w:ascii="Arial" w:hAnsi="Arial" w:cs="Arial"/>
          <w:sz w:val="18"/>
          <w:szCs w:val="18"/>
        </w:rPr>
        <w:t>s</w:t>
      </w:r>
      <w:r>
        <w:rPr>
          <w:rFonts w:ascii="Arial" w:hAnsi="Arial" w:cs="Arial"/>
          <w:sz w:val="18"/>
          <w:szCs w:val="18"/>
        </w:rPr>
        <w:t xml:space="preserve"> </w:t>
      </w:r>
      <w:r w:rsidR="00E03442">
        <w:rPr>
          <w:rFonts w:ascii="Arial" w:hAnsi="Arial" w:cs="Arial"/>
          <w:sz w:val="18"/>
          <w:szCs w:val="18"/>
        </w:rPr>
        <w:t>fizeram com que tanto o GCOI quanto o GCPS (cf. 2.3 e 2.4)</w:t>
      </w:r>
      <w:r w:rsidR="00245133">
        <w:rPr>
          <w:rFonts w:ascii="Arial" w:hAnsi="Arial" w:cs="Arial"/>
          <w:sz w:val="18"/>
          <w:szCs w:val="18"/>
        </w:rPr>
        <w:t>,</w:t>
      </w:r>
      <w:r w:rsidR="004E5A99">
        <w:rPr>
          <w:rFonts w:ascii="Arial" w:hAnsi="Arial" w:cs="Arial"/>
          <w:sz w:val="18"/>
          <w:szCs w:val="18"/>
        </w:rPr>
        <w:t xml:space="preserve"> nos seus estudos de suprimento entre empresas (cf. xxxx)</w:t>
      </w:r>
      <w:r w:rsidR="00245133">
        <w:rPr>
          <w:rFonts w:ascii="Arial" w:hAnsi="Arial" w:cs="Arial"/>
          <w:sz w:val="18"/>
          <w:szCs w:val="18"/>
        </w:rPr>
        <w:t>,</w:t>
      </w:r>
      <w:r w:rsidR="004E5A99">
        <w:rPr>
          <w:rFonts w:ascii="Arial" w:hAnsi="Arial" w:cs="Arial"/>
          <w:sz w:val="18"/>
          <w:szCs w:val="18"/>
        </w:rPr>
        <w:t xml:space="preserve"> trabalhassem com o enfoque em tela.</w:t>
      </w:r>
      <w:r w:rsidR="00E03442">
        <w:rPr>
          <w:rFonts w:ascii="Arial" w:hAnsi="Arial" w:cs="Arial"/>
          <w:sz w:val="18"/>
          <w:szCs w:val="18"/>
        </w:rPr>
        <w:t xml:space="preserve"> </w:t>
      </w:r>
      <w:r w:rsidR="00A82D89">
        <w:rPr>
          <w:rFonts w:ascii="Arial" w:hAnsi="Arial" w:cs="Arial"/>
          <w:sz w:val="18"/>
          <w:szCs w:val="18"/>
        </w:rPr>
        <w:t>A seções seguintes se baseiam em (10)</w:t>
      </w:r>
      <w:r w:rsidR="004E5A99">
        <w:rPr>
          <w:rFonts w:ascii="Arial" w:hAnsi="Arial" w:cs="Arial"/>
          <w:sz w:val="18"/>
          <w:szCs w:val="18"/>
        </w:rPr>
        <w:t>.</w:t>
      </w:r>
    </w:p>
    <w:p w:rsidR="004E5A99" w:rsidRDefault="004E5A99" w:rsidP="00BD7160">
      <w:pPr>
        <w:autoSpaceDE w:val="0"/>
        <w:autoSpaceDN w:val="0"/>
        <w:adjustRightInd w:val="0"/>
        <w:jc w:val="both"/>
        <w:rPr>
          <w:rFonts w:ascii="Arial" w:hAnsi="Arial" w:cs="Arial"/>
          <w:sz w:val="18"/>
          <w:szCs w:val="18"/>
        </w:rPr>
      </w:pPr>
    </w:p>
    <w:p w:rsidR="00BA3D78" w:rsidRDefault="00E03442" w:rsidP="00BD7160">
      <w:pPr>
        <w:autoSpaceDE w:val="0"/>
        <w:autoSpaceDN w:val="0"/>
        <w:adjustRightInd w:val="0"/>
        <w:jc w:val="both"/>
        <w:rPr>
          <w:rFonts w:ascii="Arial" w:hAnsi="Arial" w:cs="Arial"/>
          <w:sz w:val="18"/>
          <w:szCs w:val="18"/>
        </w:rPr>
      </w:pPr>
      <w:r>
        <w:rPr>
          <w:rFonts w:ascii="Arial" w:hAnsi="Arial" w:cs="Arial"/>
          <w:sz w:val="18"/>
          <w:szCs w:val="18"/>
        </w:rPr>
        <w:t xml:space="preserve">3.3 </w:t>
      </w:r>
      <w:r w:rsidR="00BA3D78">
        <w:rPr>
          <w:rFonts w:ascii="Arial" w:hAnsi="Arial" w:cs="Arial"/>
          <w:sz w:val="18"/>
          <w:szCs w:val="18"/>
        </w:rPr>
        <w:t>Geração de Séries Sintéticas</w:t>
      </w:r>
    </w:p>
    <w:p w:rsidR="00BA3D78" w:rsidRDefault="00BA3D78" w:rsidP="00BD7160">
      <w:pPr>
        <w:autoSpaceDE w:val="0"/>
        <w:autoSpaceDN w:val="0"/>
        <w:adjustRightInd w:val="0"/>
        <w:jc w:val="both"/>
        <w:rPr>
          <w:rFonts w:ascii="Arial" w:hAnsi="Arial" w:cs="Arial"/>
          <w:sz w:val="18"/>
          <w:szCs w:val="18"/>
        </w:rPr>
      </w:pPr>
    </w:p>
    <w:p w:rsidR="00BA3D78" w:rsidRDefault="00BA3D78" w:rsidP="00BD7160">
      <w:pPr>
        <w:autoSpaceDE w:val="0"/>
        <w:autoSpaceDN w:val="0"/>
        <w:adjustRightInd w:val="0"/>
        <w:jc w:val="both"/>
        <w:rPr>
          <w:rFonts w:ascii="Arial" w:hAnsi="Arial" w:cs="Arial"/>
          <w:sz w:val="18"/>
          <w:szCs w:val="18"/>
        </w:rPr>
      </w:pPr>
      <w:r>
        <w:rPr>
          <w:rFonts w:ascii="Arial" w:hAnsi="Arial" w:cs="Arial"/>
          <w:sz w:val="18"/>
          <w:szCs w:val="18"/>
        </w:rPr>
        <w:t>A mudança para uma abordagem probabilística impõe a existência de um gerador de séreis sint</w:t>
      </w:r>
      <w:r w:rsidR="0006010F">
        <w:rPr>
          <w:rFonts w:ascii="Arial" w:hAnsi="Arial" w:cs="Arial"/>
          <w:sz w:val="18"/>
          <w:szCs w:val="18"/>
        </w:rPr>
        <w:t>éticas de energia alfluente</w:t>
      </w:r>
      <w:r>
        <w:rPr>
          <w:rFonts w:ascii="Arial" w:hAnsi="Arial" w:cs="Arial"/>
          <w:sz w:val="18"/>
          <w:szCs w:val="18"/>
        </w:rPr>
        <w:t xml:space="preserve"> que ma</w:t>
      </w:r>
      <w:r w:rsidR="00053D01">
        <w:rPr>
          <w:rFonts w:ascii="Arial" w:hAnsi="Arial" w:cs="Arial"/>
          <w:sz w:val="18"/>
          <w:szCs w:val="18"/>
        </w:rPr>
        <w:t xml:space="preserve">ntenha um comportamento satisfatório em relação ao histórico de vazões. </w:t>
      </w:r>
      <w:r w:rsidR="0006010F">
        <w:rPr>
          <w:rFonts w:ascii="Arial" w:hAnsi="Arial" w:cs="Arial"/>
          <w:sz w:val="18"/>
          <w:szCs w:val="18"/>
        </w:rPr>
        <w:t xml:space="preserve">(10) comenta que a tecnologia da época esbarrou em problemas de representatividade do processo natural de afluência caso usasse </w:t>
      </w:r>
      <w:r w:rsidR="00053D01">
        <w:rPr>
          <w:rFonts w:ascii="Arial" w:hAnsi="Arial" w:cs="Arial"/>
          <w:sz w:val="18"/>
          <w:szCs w:val="18"/>
        </w:rPr>
        <w:t>modelos estoc</w:t>
      </w:r>
      <w:r w:rsidR="0006010F">
        <w:rPr>
          <w:rFonts w:ascii="Arial" w:hAnsi="Arial" w:cs="Arial"/>
          <w:sz w:val="18"/>
          <w:szCs w:val="18"/>
        </w:rPr>
        <w:t xml:space="preserve">ásticos autoregressivos. Sendo assim,foi utilizado o modelo DESAG, desenvolvido pelo Cepel, que trabalhava com energias afluentes desagregativas. </w:t>
      </w:r>
    </w:p>
    <w:p w:rsidR="0081220F" w:rsidRDefault="0081220F" w:rsidP="00BD7160">
      <w:pPr>
        <w:autoSpaceDE w:val="0"/>
        <w:autoSpaceDN w:val="0"/>
        <w:adjustRightInd w:val="0"/>
        <w:jc w:val="both"/>
        <w:rPr>
          <w:rFonts w:ascii="Arial" w:hAnsi="Arial" w:cs="Arial"/>
          <w:sz w:val="18"/>
          <w:szCs w:val="18"/>
        </w:rPr>
      </w:pPr>
    </w:p>
    <w:p w:rsidR="0081220F" w:rsidRDefault="0081220F" w:rsidP="00BD7160">
      <w:pPr>
        <w:autoSpaceDE w:val="0"/>
        <w:autoSpaceDN w:val="0"/>
        <w:adjustRightInd w:val="0"/>
        <w:jc w:val="both"/>
        <w:rPr>
          <w:rFonts w:ascii="Arial" w:hAnsi="Arial" w:cs="Arial"/>
          <w:sz w:val="18"/>
          <w:szCs w:val="18"/>
        </w:rPr>
      </w:pPr>
      <w:r>
        <w:rPr>
          <w:rFonts w:ascii="Arial" w:hAnsi="Arial" w:cs="Arial"/>
          <w:sz w:val="18"/>
          <w:szCs w:val="18"/>
        </w:rPr>
        <w:t>No tocante a obtenção de uma a</w:t>
      </w:r>
      <w:r w:rsidR="001255F4">
        <w:rPr>
          <w:rFonts w:ascii="Arial" w:hAnsi="Arial" w:cs="Arial"/>
          <w:sz w:val="18"/>
          <w:szCs w:val="18"/>
        </w:rPr>
        <w:t xml:space="preserve">mostra </w:t>
      </w:r>
      <w:r>
        <w:rPr>
          <w:rFonts w:ascii="Arial" w:hAnsi="Arial" w:cs="Arial"/>
          <w:sz w:val="18"/>
          <w:szCs w:val="18"/>
        </w:rPr>
        <w:t>foram analisada duas formas</w:t>
      </w:r>
      <w:r w:rsidR="001255F4">
        <w:rPr>
          <w:rFonts w:ascii="Arial" w:hAnsi="Arial" w:cs="Arial"/>
          <w:sz w:val="18"/>
          <w:szCs w:val="18"/>
        </w:rPr>
        <w:t>. Supondo que</w:t>
      </w:r>
      <w:r w:rsidR="00245133">
        <w:rPr>
          <w:rFonts w:ascii="Arial" w:hAnsi="Arial" w:cs="Arial"/>
          <w:sz w:val="18"/>
          <w:szCs w:val="18"/>
        </w:rPr>
        <w:t xml:space="preserve"> se queira uma análi</w:t>
      </w:r>
      <w:r w:rsidR="001255F4">
        <w:rPr>
          <w:rFonts w:ascii="Arial" w:hAnsi="Arial" w:cs="Arial"/>
          <w:sz w:val="18"/>
          <w:szCs w:val="18"/>
        </w:rPr>
        <w:t>se de 2000 anos de comportamento</w:t>
      </w:r>
      <w:r w:rsidR="00245133">
        <w:rPr>
          <w:rFonts w:ascii="Arial" w:hAnsi="Arial" w:cs="Arial"/>
          <w:sz w:val="18"/>
          <w:szCs w:val="18"/>
        </w:rPr>
        <w:t xml:space="preserve"> </w:t>
      </w:r>
      <w:r w:rsidR="001255F4">
        <w:rPr>
          <w:rFonts w:ascii="Arial" w:hAnsi="Arial" w:cs="Arial"/>
          <w:sz w:val="18"/>
          <w:szCs w:val="18"/>
        </w:rPr>
        <w:t>de uma determinada configuração estática, tem-se</w:t>
      </w:r>
      <w:r>
        <w:rPr>
          <w:rFonts w:ascii="Arial" w:hAnsi="Arial" w:cs="Arial"/>
          <w:sz w:val="18"/>
          <w:szCs w:val="18"/>
        </w:rPr>
        <w:t>:</w:t>
      </w:r>
    </w:p>
    <w:p w:rsidR="0081220F" w:rsidRDefault="0081220F" w:rsidP="00BD7160">
      <w:pPr>
        <w:autoSpaceDE w:val="0"/>
        <w:autoSpaceDN w:val="0"/>
        <w:adjustRightInd w:val="0"/>
        <w:jc w:val="both"/>
        <w:rPr>
          <w:rFonts w:ascii="Arial" w:hAnsi="Arial" w:cs="Arial"/>
          <w:sz w:val="18"/>
          <w:szCs w:val="18"/>
        </w:rPr>
      </w:pPr>
    </w:p>
    <w:p w:rsidR="0081220F" w:rsidRDefault="0081220F" w:rsidP="0081220F">
      <w:pPr>
        <w:pStyle w:val="PargrafodaLista"/>
        <w:numPr>
          <w:ilvl w:val="0"/>
          <w:numId w:val="36"/>
        </w:numPr>
        <w:autoSpaceDE w:val="0"/>
        <w:autoSpaceDN w:val="0"/>
        <w:adjustRightInd w:val="0"/>
        <w:ind w:left="284" w:hanging="284"/>
        <w:rPr>
          <w:rFonts w:ascii="Arial" w:hAnsi="Arial" w:cs="Arial"/>
          <w:sz w:val="18"/>
          <w:szCs w:val="18"/>
        </w:rPr>
      </w:pPr>
      <w:r>
        <w:rPr>
          <w:rFonts w:ascii="Arial" w:hAnsi="Arial" w:cs="Arial"/>
          <w:sz w:val="18"/>
          <w:szCs w:val="18"/>
        </w:rPr>
        <w:t>Geração de uma única s</w:t>
      </w:r>
      <w:r w:rsidR="001255F4">
        <w:rPr>
          <w:rFonts w:ascii="Arial" w:hAnsi="Arial" w:cs="Arial"/>
          <w:sz w:val="18"/>
          <w:szCs w:val="18"/>
        </w:rPr>
        <w:t>érie de T + 2000 anos</w:t>
      </w:r>
      <w:r>
        <w:rPr>
          <w:rFonts w:ascii="Arial" w:hAnsi="Arial" w:cs="Arial"/>
          <w:sz w:val="18"/>
          <w:szCs w:val="18"/>
        </w:rPr>
        <w:t>, onde T indica transientes;</w:t>
      </w:r>
    </w:p>
    <w:p w:rsidR="0081220F" w:rsidRDefault="0081220F" w:rsidP="0081220F">
      <w:pPr>
        <w:pStyle w:val="PargrafodaLista"/>
        <w:autoSpaceDE w:val="0"/>
        <w:autoSpaceDN w:val="0"/>
        <w:adjustRightInd w:val="0"/>
        <w:ind w:left="284"/>
        <w:rPr>
          <w:rFonts w:ascii="Arial" w:hAnsi="Arial" w:cs="Arial"/>
          <w:sz w:val="18"/>
          <w:szCs w:val="18"/>
        </w:rPr>
      </w:pPr>
    </w:p>
    <w:p w:rsidR="0081220F" w:rsidRDefault="0081220F" w:rsidP="0081220F">
      <w:pPr>
        <w:pStyle w:val="PargrafodaLista"/>
        <w:numPr>
          <w:ilvl w:val="0"/>
          <w:numId w:val="36"/>
        </w:numPr>
        <w:autoSpaceDE w:val="0"/>
        <w:autoSpaceDN w:val="0"/>
        <w:adjustRightInd w:val="0"/>
        <w:ind w:left="284" w:hanging="284"/>
        <w:rPr>
          <w:rFonts w:ascii="Arial" w:hAnsi="Arial" w:cs="Arial"/>
          <w:sz w:val="18"/>
          <w:szCs w:val="18"/>
        </w:rPr>
      </w:pPr>
      <w:r>
        <w:rPr>
          <w:rFonts w:ascii="Arial" w:hAnsi="Arial" w:cs="Arial"/>
          <w:sz w:val="18"/>
          <w:szCs w:val="18"/>
        </w:rPr>
        <w:lastRenderedPageBreak/>
        <w:t xml:space="preserve">Geração de </w:t>
      </w:r>
      <w:r w:rsidR="001255F4">
        <w:rPr>
          <w:rFonts w:ascii="Arial" w:hAnsi="Arial" w:cs="Arial"/>
          <w:sz w:val="18"/>
          <w:szCs w:val="18"/>
        </w:rPr>
        <w:t>2000</w:t>
      </w:r>
      <w:r>
        <w:rPr>
          <w:rFonts w:ascii="Arial" w:hAnsi="Arial" w:cs="Arial"/>
          <w:sz w:val="18"/>
          <w:szCs w:val="18"/>
        </w:rPr>
        <w:t xml:space="preserve"> séries independentes</w:t>
      </w:r>
      <w:r w:rsidR="001255F4">
        <w:rPr>
          <w:rFonts w:ascii="Arial" w:hAnsi="Arial" w:cs="Arial"/>
          <w:sz w:val="18"/>
          <w:szCs w:val="18"/>
        </w:rPr>
        <w:t xml:space="preserve"> de (T+1) anos cada.</w:t>
      </w:r>
    </w:p>
    <w:p w:rsidR="001255F4" w:rsidRPr="001255F4" w:rsidRDefault="001255F4" w:rsidP="001255F4">
      <w:pPr>
        <w:pStyle w:val="PargrafodaLista"/>
        <w:rPr>
          <w:rFonts w:ascii="Arial" w:hAnsi="Arial" w:cs="Arial"/>
          <w:sz w:val="18"/>
          <w:szCs w:val="18"/>
        </w:rPr>
      </w:pPr>
    </w:p>
    <w:p w:rsidR="001255F4" w:rsidRDefault="001255F4" w:rsidP="001255F4">
      <w:pPr>
        <w:autoSpaceDE w:val="0"/>
        <w:autoSpaceDN w:val="0"/>
        <w:adjustRightInd w:val="0"/>
        <w:rPr>
          <w:rFonts w:ascii="Arial" w:hAnsi="Arial" w:cs="Arial"/>
          <w:sz w:val="18"/>
          <w:szCs w:val="18"/>
        </w:rPr>
      </w:pPr>
      <w:r>
        <w:rPr>
          <w:rFonts w:ascii="Arial" w:hAnsi="Arial" w:cs="Arial"/>
          <w:sz w:val="18"/>
          <w:szCs w:val="18"/>
        </w:rPr>
        <w:t>Conforme explica (10), problemas de autocorrelação fez com que a segunda forma fosse escolhida.</w:t>
      </w:r>
    </w:p>
    <w:p w:rsidR="001255F4" w:rsidRDefault="001255F4" w:rsidP="001255F4">
      <w:pPr>
        <w:autoSpaceDE w:val="0"/>
        <w:autoSpaceDN w:val="0"/>
        <w:adjustRightInd w:val="0"/>
        <w:rPr>
          <w:rFonts w:ascii="Arial" w:hAnsi="Arial" w:cs="Arial"/>
          <w:sz w:val="18"/>
          <w:szCs w:val="18"/>
        </w:rPr>
      </w:pPr>
    </w:p>
    <w:p w:rsidR="001255F4" w:rsidRPr="000119D8" w:rsidRDefault="001255F4" w:rsidP="000119D8">
      <w:pPr>
        <w:pStyle w:val="Ttulo3"/>
        <w:jc w:val="left"/>
        <w:rPr>
          <w:sz w:val="18"/>
          <w:szCs w:val="18"/>
        </w:rPr>
      </w:pPr>
      <w:r w:rsidRPr="000119D8">
        <w:rPr>
          <w:sz w:val="18"/>
          <w:szCs w:val="18"/>
          <w14:shadow w14:blurRad="0" w14:dist="0" w14:dir="0" w14:sx="0" w14:sy="0" w14:kx="0" w14:ky="0" w14:algn="none">
            <w14:srgbClr w14:val="000000"/>
          </w14:shadow>
        </w:rPr>
        <w:t>3.4 Eliminação de Transientes</w:t>
      </w:r>
    </w:p>
    <w:p w:rsidR="001255F4" w:rsidRDefault="001255F4" w:rsidP="001255F4">
      <w:pPr>
        <w:autoSpaceDE w:val="0"/>
        <w:autoSpaceDN w:val="0"/>
        <w:adjustRightInd w:val="0"/>
        <w:rPr>
          <w:rFonts w:ascii="Arial" w:hAnsi="Arial" w:cs="Arial"/>
          <w:sz w:val="18"/>
          <w:szCs w:val="18"/>
        </w:rPr>
      </w:pPr>
    </w:p>
    <w:p w:rsidR="00E11357" w:rsidRDefault="00245133" w:rsidP="000B682F">
      <w:pPr>
        <w:autoSpaceDE w:val="0"/>
        <w:autoSpaceDN w:val="0"/>
        <w:adjustRightInd w:val="0"/>
        <w:spacing w:line="360" w:lineRule="auto"/>
        <w:jc w:val="both"/>
        <w:rPr>
          <w:rFonts w:ascii="Arial" w:hAnsi="Arial" w:cs="Arial"/>
          <w:sz w:val="18"/>
          <w:szCs w:val="18"/>
        </w:rPr>
      </w:pPr>
      <w:r>
        <w:rPr>
          <w:rFonts w:ascii="Arial" w:hAnsi="Arial" w:cs="Arial"/>
          <w:sz w:val="18"/>
          <w:szCs w:val="18"/>
        </w:rPr>
        <w:t>E</w:t>
      </w:r>
      <w:r w:rsidR="001255F4">
        <w:rPr>
          <w:rFonts w:ascii="Arial" w:hAnsi="Arial" w:cs="Arial"/>
          <w:sz w:val="18"/>
          <w:szCs w:val="18"/>
        </w:rPr>
        <w:t>m configurações estáticas existem dois fatores que originam transientes: perman</w:t>
      </w:r>
      <w:r w:rsidR="00F8651A">
        <w:rPr>
          <w:rFonts w:ascii="Arial" w:hAnsi="Arial" w:cs="Arial"/>
          <w:sz w:val="18"/>
          <w:szCs w:val="18"/>
        </w:rPr>
        <w:t>ência tanto da tendência hidrológica inicial quanto do estado inicial de armazenamento do sistema. O primeiro fator, nas simulações efetuadas, torna</w:t>
      </w:r>
      <w:r>
        <w:rPr>
          <w:rFonts w:ascii="Arial" w:hAnsi="Arial" w:cs="Arial"/>
          <w:sz w:val="18"/>
          <w:szCs w:val="18"/>
        </w:rPr>
        <w:t>va</w:t>
      </w:r>
      <w:r w:rsidR="00F8651A">
        <w:rPr>
          <w:rFonts w:ascii="Arial" w:hAnsi="Arial" w:cs="Arial"/>
          <w:sz w:val="18"/>
          <w:szCs w:val="18"/>
        </w:rPr>
        <w:t>-se desprezível após 5 anos</w:t>
      </w:r>
      <w:r w:rsidR="00E11357">
        <w:rPr>
          <w:rFonts w:ascii="Arial" w:hAnsi="Arial" w:cs="Arial"/>
          <w:sz w:val="18"/>
          <w:szCs w:val="18"/>
        </w:rPr>
        <w:t>. Entretanto, o segundo demora</w:t>
      </w:r>
      <w:r>
        <w:rPr>
          <w:rFonts w:ascii="Arial" w:hAnsi="Arial" w:cs="Arial"/>
          <w:sz w:val="18"/>
          <w:szCs w:val="18"/>
        </w:rPr>
        <w:t>va</w:t>
      </w:r>
      <w:r w:rsidR="00E11357">
        <w:rPr>
          <w:rFonts w:ascii="Arial" w:hAnsi="Arial" w:cs="Arial"/>
          <w:sz w:val="18"/>
          <w:szCs w:val="18"/>
        </w:rPr>
        <w:t xml:space="preserve"> cerca de 10 anos.</w:t>
      </w:r>
    </w:p>
    <w:p w:rsidR="00E11357" w:rsidRDefault="00E11357" w:rsidP="001255F4">
      <w:pPr>
        <w:autoSpaceDE w:val="0"/>
        <w:autoSpaceDN w:val="0"/>
        <w:adjustRightInd w:val="0"/>
        <w:rPr>
          <w:rFonts w:ascii="Arial" w:hAnsi="Arial" w:cs="Arial"/>
          <w:sz w:val="18"/>
          <w:szCs w:val="18"/>
        </w:rPr>
      </w:pPr>
    </w:p>
    <w:p w:rsidR="001255F4" w:rsidRPr="00E11357" w:rsidRDefault="00E11357" w:rsidP="00E11357">
      <w:pPr>
        <w:pStyle w:val="Ttulo3"/>
        <w:jc w:val="left"/>
        <w:rPr>
          <w:sz w:val="18"/>
          <w:szCs w:val="18"/>
        </w:rPr>
      </w:pPr>
      <w:r w:rsidRPr="00E11357">
        <w:rPr>
          <w:sz w:val="18"/>
          <w:szCs w:val="18"/>
          <w14:shadow w14:blurRad="0" w14:dist="0" w14:dir="0" w14:sx="0" w14:sy="0" w14:kx="0" w14:ky="0" w14:algn="none">
            <w14:srgbClr w14:val="000000"/>
          </w14:shadow>
        </w:rPr>
        <w:t xml:space="preserve">3.5 </w:t>
      </w:r>
      <w:r w:rsidR="001255F4" w:rsidRPr="00E11357">
        <w:rPr>
          <w:sz w:val="18"/>
          <w:szCs w:val="18"/>
          <w14:shadow w14:blurRad="0" w14:dist="0" w14:dir="0" w14:sx="0" w14:sy="0" w14:kx="0" w14:ky="0" w14:algn="none">
            <w14:srgbClr w14:val="000000"/>
          </w14:shadow>
        </w:rPr>
        <w:t xml:space="preserve"> </w:t>
      </w:r>
      <w:r w:rsidRPr="00E11357">
        <w:rPr>
          <w:sz w:val="18"/>
          <w:szCs w:val="18"/>
          <w14:shadow w14:blurRad="0" w14:dist="0" w14:dir="0" w14:sx="0" w14:sy="0" w14:kx="0" w14:ky="0" w14:algn="none">
            <w14:srgbClr w14:val="000000"/>
          </w14:shadow>
        </w:rPr>
        <w:t>Simulação</w:t>
      </w:r>
    </w:p>
    <w:p w:rsidR="00BA3D78" w:rsidRDefault="00BA3D78" w:rsidP="00BD7160">
      <w:pPr>
        <w:autoSpaceDE w:val="0"/>
        <w:autoSpaceDN w:val="0"/>
        <w:adjustRightInd w:val="0"/>
        <w:jc w:val="both"/>
        <w:rPr>
          <w:rFonts w:ascii="Arial" w:hAnsi="Arial" w:cs="Arial"/>
          <w:sz w:val="18"/>
          <w:szCs w:val="18"/>
        </w:rPr>
      </w:pPr>
    </w:p>
    <w:p w:rsidR="00A82D89" w:rsidRDefault="00E11357" w:rsidP="000B682F">
      <w:pPr>
        <w:autoSpaceDE w:val="0"/>
        <w:autoSpaceDN w:val="0"/>
        <w:adjustRightInd w:val="0"/>
        <w:spacing w:line="360" w:lineRule="auto"/>
        <w:jc w:val="both"/>
        <w:rPr>
          <w:rFonts w:ascii="Arial" w:hAnsi="Arial" w:cs="Arial"/>
          <w:sz w:val="18"/>
          <w:szCs w:val="18"/>
        </w:rPr>
      </w:pPr>
      <w:r>
        <w:rPr>
          <w:rFonts w:ascii="Arial" w:hAnsi="Arial" w:cs="Arial"/>
          <w:sz w:val="18"/>
          <w:szCs w:val="18"/>
        </w:rPr>
        <w:t>No estudo de (10) foi utilizado o Modelo de Simulação a Sist</w:t>
      </w:r>
      <w:r w:rsidR="00245133">
        <w:rPr>
          <w:rFonts w:ascii="Arial" w:hAnsi="Arial" w:cs="Arial"/>
          <w:sz w:val="18"/>
          <w:szCs w:val="18"/>
        </w:rPr>
        <w:t>emas Equivalentes-MSSE</w:t>
      </w:r>
      <w:r>
        <w:rPr>
          <w:rFonts w:ascii="Arial" w:hAnsi="Arial" w:cs="Arial"/>
          <w:sz w:val="18"/>
          <w:szCs w:val="18"/>
        </w:rPr>
        <w:t>, com possibilidade de receber energia a</w:t>
      </w:r>
      <w:r w:rsidR="00851816">
        <w:rPr>
          <w:rFonts w:ascii="Arial" w:hAnsi="Arial" w:cs="Arial"/>
          <w:sz w:val="18"/>
          <w:szCs w:val="18"/>
        </w:rPr>
        <w:t>f</w:t>
      </w:r>
      <w:r>
        <w:rPr>
          <w:rFonts w:ascii="Arial" w:hAnsi="Arial" w:cs="Arial"/>
          <w:sz w:val="18"/>
          <w:szCs w:val="18"/>
        </w:rPr>
        <w:t>luentes sintéticas gerad</w:t>
      </w:r>
      <w:r w:rsidR="00245133">
        <w:rPr>
          <w:rFonts w:ascii="Arial" w:hAnsi="Arial" w:cs="Arial"/>
          <w:sz w:val="18"/>
          <w:szCs w:val="18"/>
        </w:rPr>
        <w:t>as do DESAG</w:t>
      </w:r>
      <w:r>
        <w:rPr>
          <w:rFonts w:ascii="Arial" w:hAnsi="Arial" w:cs="Arial"/>
          <w:sz w:val="18"/>
          <w:szCs w:val="18"/>
        </w:rPr>
        <w:t>. Foram geradas 3.000 séries sintéticas independentes de 22 anos para as mesmas configurações apresentadas na Tabela 1.</w:t>
      </w:r>
      <w:r w:rsidR="00A82D89">
        <w:rPr>
          <w:rFonts w:ascii="Arial" w:hAnsi="Arial" w:cs="Arial"/>
          <w:sz w:val="18"/>
          <w:szCs w:val="18"/>
        </w:rPr>
        <w:t xml:space="preserve"> Os cinco primeiros anos não foram simulados pois tem apenas o objetivo de eliminar a tendência hidrológica. Dos 17 anos restantes foram descartados os 12 primeiros anos a título de estabilização do sistema.</w:t>
      </w:r>
    </w:p>
    <w:p w:rsidR="00A82D89" w:rsidRDefault="00A82D89" w:rsidP="00BD7160">
      <w:pPr>
        <w:autoSpaceDE w:val="0"/>
        <w:autoSpaceDN w:val="0"/>
        <w:adjustRightInd w:val="0"/>
        <w:jc w:val="both"/>
        <w:rPr>
          <w:rFonts w:ascii="Arial" w:hAnsi="Arial" w:cs="Arial"/>
          <w:sz w:val="18"/>
          <w:szCs w:val="18"/>
        </w:rPr>
      </w:pPr>
    </w:p>
    <w:p w:rsidR="00A82D89" w:rsidRDefault="00A82D89" w:rsidP="00BD7160">
      <w:pPr>
        <w:autoSpaceDE w:val="0"/>
        <w:autoSpaceDN w:val="0"/>
        <w:adjustRightInd w:val="0"/>
        <w:jc w:val="both"/>
        <w:rPr>
          <w:rFonts w:ascii="Arial" w:hAnsi="Arial" w:cs="Arial"/>
          <w:sz w:val="18"/>
          <w:szCs w:val="18"/>
        </w:rPr>
      </w:pPr>
      <w:r>
        <w:rPr>
          <w:rFonts w:ascii="Arial" w:hAnsi="Arial" w:cs="Arial"/>
          <w:sz w:val="18"/>
          <w:szCs w:val="18"/>
        </w:rPr>
        <w:t>3.6 Operação Térmica</w:t>
      </w:r>
    </w:p>
    <w:p w:rsidR="00851816" w:rsidRDefault="00851816" w:rsidP="00BD7160">
      <w:pPr>
        <w:autoSpaceDE w:val="0"/>
        <w:autoSpaceDN w:val="0"/>
        <w:adjustRightInd w:val="0"/>
        <w:jc w:val="both"/>
        <w:rPr>
          <w:rFonts w:ascii="Arial" w:hAnsi="Arial" w:cs="Arial"/>
          <w:sz w:val="18"/>
          <w:szCs w:val="18"/>
        </w:rPr>
      </w:pPr>
    </w:p>
    <w:p w:rsidR="00851816" w:rsidRDefault="00851816" w:rsidP="000B682F">
      <w:pPr>
        <w:autoSpaceDE w:val="0"/>
        <w:autoSpaceDN w:val="0"/>
        <w:adjustRightInd w:val="0"/>
        <w:spacing w:line="360" w:lineRule="auto"/>
        <w:jc w:val="both"/>
        <w:rPr>
          <w:rFonts w:ascii="Arial" w:hAnsi="Arial" w:cs="Arial"/>
          <w:sz w:val="18"/>
          <w:szCs w:val="18"/>
        </w:rPr>
      </w:pPr>
      <w:r>
        <w:rPr>
          <w:rFonts w:ascii="Arial" w:hAnsi="Arial" w:cs="Arial"/>
          <w:sz w:val="18"/>
          <w:szCs w:val="18"/>
        </w:rPr>
        <w:t>A utilizaç</w:t>
      </w:r>
      <w:r w:rsidR="000119D8">
        <w:rPr>
          <w:rFonts w:ascii="Arial" w:hAnsi="Arial" w:cs="Arial"/>
          <w:sz w:val="18"/>
          <w:szCs w:val="18"/>
        </w:rPr>
        <w:t xml:space="preserve">ão do modelo DESAG </w:t>
      </w:r>
      <w:r>
        <w:rPr>
          <w:rFonts w:ascii="Arial" w:hAnsi="Arial" w:cs="Arial"/>
          <w:sz w:val="18"/>
          <w:szCs w:val="18"/>
        </w:rPr>
        <w:t>impediu que (10), bem como outros trabalhos da primeira metade da década de 1980, utilizasse a p</w:t>
      </w:r>
      <w:r w:rsidR="00245133">
        <w:rPr>
          <w:rFonts w:ascii="Arial" w:hAnsi="Arial" w:cs="Arial"/>
          <w:sz w:val="18"/>
          <w:szCs w:val="18"/>
        </w:rPr>
        <w:t>rogramação dinâmica estocástica. T</w:t>
      </w:r>
      <w:r w:rsidR="003E1C64">
        <w:rPr>
          <w:rFonts w:ascii="Arial" w:hAnsi="Arial" w:cs="Arial"/>
          <w:sz w:val="18"/>
          <w:szCs w:val="18"/>
        </w:rPr>
        <w:t>al procedimento só é otimizante no caso de se utilizar energias afluentes autoregressivas</w:t>
      </w:r>
      <w:r>
        <w:rPr>
          <w:rFonts w:ascii="Arial" w:hAnsi="Arial" w:cs="Arial"/>
          <w:sz w:val="18"/>
          <w:szCs w:val="18"/>
        </w:rPr>
        <w:t>. Diante disso, a regra de operação térmica foi dada pelas curvas-guia. Conforme comenta (8), essas curvas definem um volume de energia armazenada no sistema para cada mês. Caso a en</w:t>
      </w:r>
      <w:r w:rsidR="003E1C64">
        <w:rPr>
          <w:rFonts w:ascii="Arial" w:hAnsi="Arial" w:cs="Arial"/>
          <w:sz w:val="18"/>
          <w:szCs w:val="18"/>
        </w:rPr>
        <w:t>e</w:t>
      </w:r>
      <w:r>
        <w:rPr>
          <w:rFonts w:ascii="Arial" w:hAnsi="Arial" w:cs="Arial"/>
          <w:sz w:val="18"/>
          <w:szCs w:val="18"/>
        </w:rPr>
        <w:t>rgia armazenada</w:t>
      </w:r>
      <w:r w:rsidR="003E1C64">
        <w:rPr>
          <w:rFonts w:ascii="Arial" w:hAnsi="Arial" w:cs="Arial"/>
          <w:sz w:val="18"/>
          <w:szCs w:val="18"/>
        </w:rPr>
        <w:t xml:space="preserve"> seja inferior aquela prevista na curva guia significa que as térmicas</w:t>
      </w:r>
      <w:r w:rsidR="00245133">
        <w:rPr>
          <w:rFonts w:ascii="Arial" w:hAnsi="Arial" w:cs="Arial"/>
          <w:sz w:val="18"/>
          <w:szCs w:val="18"/>
        </w:rPr>
        <w:t xml:space="preserve"> </w:t>
      </w:r>
      <w:r w:rsidR="003E1C64">
        <w:rPr>
          <w:rFonts w:ascii="Arial" w:hAnsi="Arial" w:cs="Arial"/>
          <w:sz w:val="18"/>
          <w:szCs w:val="18"/>
        </w:rPr>
        <w:t>devem operar na base. Em caso contrário, na ponta. Portanto, o procedimento de curva guia não permite uma produção mai</w:t>
      </w:r>
      <w:r w:rsidR="00245133">
        <w:rPr>
          <w:rFonts w:ascii="Arial" w:hAnsi="Arial" w:cs="Arial"/>
          <w:sz w:val="18"/>
          <w:szCs w:val="18"/>
        </w:rPr>
        <w:t xml:space="preserve">or de economia de combustível </w:t>
      </w:r>
      <w:r w:rsidR="000B682F">
        <w:rPr>
          <w:rFonts w:ascii="Arial" w:hAnsi="Arial" w:cs="Arial"/>
          <w:sz w:val="18"/>
          <w:szCs w:val="18"/>
        </w:rPr>
        <w:t xml:space="preserve">do que a </w:t>
      </w:r>
      <w:r w:rsidR="00245133">
        <w:rPr>
          <w:rFonts w:ascii="Arial" w:hAnsi="Arial" w:cs="Arial"/>
          <w:sz w:val="18"/>
          <w:szCs w:val="18"/>
        </w:rPr>
        <w:t>dada por uma</w:t>
      </w:r>
      <w:r w:rsidR="003E1C64">
        <w:rPr>
          <w:rFonts w:ascii="Arial" w:hAnsi="Arial" w:cs="Arial"/>
          <w:sz w:val="18"/>
          <w:szCs w:val="18"/>
        </w:rPr>
        <w:t xml:space="preserve"> tabela de decisão. </w:t>
      </w:r>
    </w:p>
    <w:p w:rsidR="00E11357" w:rsidRDefault="00E11357" w:rsidP="00BD7160">
      <w:pPr>
        <w:autoSpaceDE w:val="0"/>
        <w:autoSpaceDN w:val="0"/>
        <w:adjustRightInd w:val="0"/>
        <w:jc w:val="both"/>
        <w:rPr>
          <w:rFonts w:ascii="Arial" w:hAnsi="Arial" w:cs="Arial"/>
          <w:sz w:val="18"/>
          <w:szCs w:val="18"/>
        </w:rPr>
      </w:pPr>
      <w:r>
        <w:rPr>
          <w:rFonts w:ascii="Arial" w:hAnsi="Arial" w:cs="Arial"/>
          <w:sz w:val="18"/>
          <w:szCs w:val="18"/>
        </w:rPr>
        <w:t xml:space="preserve"> </w:t>
      </w:r>
    </w:p>
    <w:p w:rsidR="00E03442" w:rsidRPr="00586F58" w:rsidRDefault="00BA3D78" w:rsidP="00586F58">
      <w:pPr>
        <w:pStyle w:val="Ttulo3"/>
        <w:jc w:val="left"/>
        <w:rPr>
          <w:sz w:val="18"/>
          <w:szCs w:val="18"/>
        </w:rPr>
      </w:pPr>
      <w:r w:rsidRPr="00586F58">
        <w:rPr>
          <w:sz w:val="18"/>
          <w:szCs w:val="18"/>
          <w14:shadow w14:blurRad="0" w14:dist="0" w14:dir="0" w14:sx="0" w14:sy="0" w14:kx="0" w14:ky="0" w14:algn="none">
            <w14:srgbClr w14:val="000000"/>
          </w14:shadow>
        </w:rPr>
        <w:t xml:space="preserve">3.5 </w:t>
      </w:r>
      <w:r w:rsidR="00E03442" w:rsidRPr="00586F58">
        <w:rPr>
          <w:sz w:val="18"/>
          <w:szCs w:val="18"/>
          <w14:shadow w14:blurRad="0" w14:dist="0" w14:dir="0" w14:sx="0" w14:sy="0" w14:kx="0" w14:ky="0" w14:algn="none">
            <w14:srgbClr w14:val="000000"/>
          </w14:shadow>
        </w:rPr>
        <w:t>Risco Associado ao Período Crítico</w:t>
      </w:r>
    </w:p>
    <w:p w:rsidR="00E03442" w:rsidRDefault="00E03442" w:rsidP="00BD7160">
      <w:pPr>
        <w:autoSpaceDE w:val="0"/>
        <w:autoSpaceDN w:val="0"/>
        <w:adjustRightInd w:val="0"/>
        <w:jc w:val="both"/>
        <w:rPr>
          <w:rFonts w:ascii="Arial" w:hAnsi="Arial" w:cs="Arial"/>
          <w:sz w:val="18"/>
          <w:szCs w:val="18"/>
        </w:rPr>
      </w:pPr>
    </w:p>
    <w:p w:rsidR="00655D7F" w:rsidRDefault="00655D7F" w:rsidP="000B682F">
      <w:pPr>
        <w:autoSpaceDE w:val="0"/>
        <w:autoSpaceDN w:val="0"/>
        <w:adjustRightInd w:val="0"/>
        <w:spacing w:line="360" w:lineRule="auto"/>
        <w:jc w:val="both"/>
        <w:rPr>
          <w:rFonts w:ascii="Arial" w:hAnsi="Arial" w:cs="Arial"/>
          <w:sz w:val="18"/>
          <w:szCs w:val="18"/>
        </w:rPr>
      </w:pPr>
      <w:r>
        <w:rPr>
          <w:rFonts w:ascii="Arial" w:hAnsi="Arial" w:cs="Arial"/>
          <w:sz w:val="18"/>
          <w:szCs w:val="18"/>
        </w:rPr>
        <w:t>U</w:t>
      </w:r>
      <w:r w:rsidR="004E5A99">
        <w:rPr>
          <w:rFonts w:ascii="Arial" w:hAnsi="Arial" w:cs="Arial"/>
          <w:sz w:val="18"/>
          <w:szCs w:val="18"/>
        </w:rPr>
        <w:t xml:space="preserve">ma </w:t>
      </w:r>
      <w:r w:rsidR="00E03442" w:rsidRPr="004E5A99">
        <w:rPr>
          <w:rFonts w:ascii="Arial" w:hAnsi="Arial" w:cs="Arial"/>
          <w:sz w:val="18"/>
          <w:szCs w:val="18"/>
        </w:rPr>
        <w:t>preocupação do GCPS</w:t>
      </w:r>
      <w:r w:rsidR="004E5A99" w:rsidRPr="004E5A99">
        <w:rPr>
          <w:rFonts w:ascii="Arial" w:hAnsi="Arial" w:cs="Arial"/>
          <w:sz w:val="18"/>
          <w:szCs w:val="18"/>
        </w:rPr>
        <w:t xml:space="preserve">/GCOI </w:t>
      </w:r>
      <w:r w:rsidR="000B682F">
        <w:rPr>
          <w:rFonts w:ascii="Arial" w:hAnsi="Arial" w:cs="Arial"/>
          <w:sz w:val="18"/>
          <w:szCs w:val="18"/>
        </w:rPr>
        <w:t xml:space="preserve">foi </w:t>
      </w:r>
      <w:r w:rsidR="004E5A99">
        <w:rPr>
          <w:rFonts w:ascii="Arial" w:hAnsi="Arial" w:cs="Arial"/>
          <w:sz w:val="18"/>
          <w:szCs w:val="18"/>
        </w:rPr>
        <w:t xml:space="preserve">em </w:t>
      </w:r>
      <w:r w:rsidR="004E5A99" w:rsidRPr="004E5A99">
        <w:rPr>
          <w:rFonts w:ascii="Arial" w:hAnsi="Arial" w:cs="Arial"/>
          <w:sz w:val="18"/>
          <w:szCs w:val="18"/>
        </w:rPr>
        <w:t xml:space="preserve">escolher um PDEF que não implicasse numa alteração demasiadamente abrupta </w:t>
      </w:r>
      <w:r w:rsidR="004E5A99">
        <w:rPr>
          <w:rFonts w:ascii="Arial" w:hAnsi="Arial" w:cs="Arial"/>
          <w:sz w:val="18"/>
          <w:szCs w:val="18"/>
        </w:rPr>
        <w:t>em relação aos</w:t>
      </w:r>
      <w:r w:rsidR="004E5A99" w:rsidRPr="004E5A99">
        <w:rPr>
          <w:rFonts w:ascii="Arial" w:hAnsi="Arial" w:cs="Arial"/>
          <w:sz w:val="18"/>
          <w:szCs w:val="18"/>
        </w:rPr>
        <w:t xml:space="preserve"> estudos de suprimento provenientes do critério determinístico</w:t>
      </w:r>
      <w:r w:rsidR="004E5A99">
        <w:rPr>
          <w:rFonts w:ascii="Arial" w:hAnsi="Arial" w:cs="Arial"/>
          <w:sz w:val="18"/>
          <w:szCs w:val="18"/>
        </w:rPr>
        <w:t xml:space="preserve">. Portanto, </w:t>
      </w:r>
      <w:r>
        <w:rPr>
          <w:rFonts w:ascii="Arial" w:hAnsi="Arial" w:cs="Arial"/>
          <w:sz w:val="18"/>
          <w:szCs w:val="18"/>
        </w:rPr>
        <w:t xml:space="preserve">foram feitas simulações pelo critério tradicional, com 500 séries sintéticas de 45 anos, sendo que os 40 últimos anos </w:t>
      </w:r>
      <w:r w:rsidR="00A806F9">
        <w:rPr>
          <w:rFonts w:ascii="Arial" w:hAnsi="Arial" w:cs="Arial"/>
          <w:sz w:val="18"/>
          <w:szCs w:val="18"/>
        </w:rPr>
        <w:t>foram utilizados para determinar</w:t>
      </w:r>
      <w:r>
        <w:rPr>
          <w:rFonts w:ascii="Arial" w:hAnsi="Arial" w:cs="Arial"/>
          <w:sz w:val="18"/>
          <w:szCs w:val="18"/>
        </w:rPr>
        <w:t xml:space="preserve"> tanto a energia firme quanto o período crítico, os quais est</w:t>
      </w:r>
      <w:r w:rsidR="00FF78F9">
        <w:rPr>
          <w:rFonts w:ascii="Arial" w:hAnsi="Arial" w:cs="Arial"/>
          <w:sz w:val="18"/>
          <w:szCs w:val="18"/>
        </w:rPr>
        <w:t>ão representados na</w:t>
      </w:r>
      <w:r>
        <w:rPr>
          <w:rFonts w:ascii="Arial" w:hAnsi="Arial" w:cs="Arial"/>
          <w:sz w:val="18"/>
          <w:szCs w:val="18"/>
        </w:rPr>
        <w:t xml:space="preserve"> </w:t>
      </w:r>
      <w:r w:rsidR="00FF78F9">
        <w:rPr>
          <w:rFonts w:ascii="Arial" w:hAnsi="Arial" w:cs="Arial"/>
          <w:sz w:val="18"/>
          <w:szCs w:val="18"/>
        </w:rPr>
        <w:t>Tabela</w:t>
      </w:r>
      <w:r>
        <w:rPr>
          <w:rFonts w:ascii="Arial" w:hAnsi="Arial" w:cs="Arial"/>
          <w:sz w:val="18"/>
          <w:szCs w:val="18"/>
        </w:rPr>
        <w:t xml:space="preserve"> 2. Cabe observar que as configurações são</w:t>
      </w:r>
      <w:r w:rsidR="00A806F9">
        <w:rPr>
          <w:rFonts w:ascii="Arial" w:hAnsi="Arial" w:cs="Arial"/>
          <w:sz w:val="18"/>
          <w:szCs w:val="18"/>
        </w:rPr>
        <w:t xml:space="preserve"> puramente hidráulicas</w:t>
      </w:r>
      <w:r>
        <w:rPr>
          <w:rFonts w:ascii="Arial" w:hAnsi="Arial" w:cs="Arial"/>
          <w:sz w:val="18"/>
          <w:szCs w:val="18"/>
        </w:rPr>
        <w:t>.</w:t>
      </w:r>
    </w:p>
    <w:p w:rsidR="00FF78F9" w:rsidRDefault="00FF78F9" w:rsidP="00BD7160">
      <w:pPr>
        <w:autoSpaceDE w:val="0"/>
        <w:autoSpaceDN w:val="0"/>
        <w:adjustRightInd w:val="0"/>
        <w:jc w:val="both"/>
        <w:rPr>
          <w:rFonts w:ascii="Arial" w:hAnsi="Arial" w:cs="Arial"/>
          <w:sz w:val="18"/>
          <w:szCs w:val="18"/>
        </w:rPr>
      </w:pPr>
    </w:p>
    <w:p w:rsidR="00FF78F9" w:rsidRPr="00634648" w:rsidRDefault="00FF78F9" w:rsidP="000B682F">
      <w:pPr>
        <w:jc w:val="center"/>
        <w:rPr>
          <w:rFonts w:ascii="Arial" w:hAnsi="Arial" w:cs="Arial"/>
          <w:sz w:val="16"/>
          <w:szCs w:val="16"/>
        </w:rPr>
      </w:pPr>
      <w:r w:rsidRPr="00634648">
        <w:rPr>
          <w:rFonts w:ascii="Arial" w:hAnsi="Arial" w:cs="Arial"/>
          <w:sz w:val="16"/>
          <w:szCs w:val="16"/>
        </w:rPr>
        <w:t xml:space="preserve">Tabela </w:t>
      </w:r>
      <w:r w:rsidR="00D90FFC">
        <w:rPr>
          <w:rFonts w:ascii="Arial" w:hAnsi="Arial" w:cs="Arial"/>
          <w:sz w:val="16"/>
          <w:szCs w:val="16"/>
        </w:rPr>
        <w:t>2</w:t>
      </w:r>
    </w:p>
    <w:p w:rsidR="00FF78F9" w:rsidRPr="00634648" w:rsidRDefault="009D2A12" w:rsidP="000B682F">
      <w:pPr>
        <w:jc w:val="center"/>
        <w:rPr>
          <w:rFonts w:ascii="Arial" w:hAnsi="Arial" w:cs="Arial"/>
          <w:sz w:val="16"/>
          <w:szCs w:val="16"/>
        </w:rPr>
      </w:pPr>
      <w:r>
        <w:rPr>
          <w:rFonts w:ascii="Arial" w:hAnsi="Arial" w:cs="Arial"/>
          <w:sz w:val="16"/>
          <w:szCs w:val="16"/>
        </w:rPr>
        <w:t>Risco Associado ao Período Crítico</w:t>
      </w:r>
    </w:p>
    <w:tbl>
      <w:tblPr>
        <w:tblStyle w:val="Tabelacomgrade"/>
        <w:tblW w:w="0" w:type="auto"/>
        <w:tblLook w:val="04A0" w:firstRow="1" w:lastRow="0" w:firstColumn="1" w:lastColumn="0" w:noHBand="0" w:noVBand="1"/>
      </w:tblPr>
      <w:tblGrid>
        <w:gridCol w:w="2694"/>
        <w:gridCol w:w="850"/>
        <w:gridCol w:w="709"/>
        <w:gridCol w:w="850"/>
        <w:gridCol w:w="851"/>
        <w:gridCol w:w="850"/>
        <w:gridCol w:w="851"/>
      </w:tblGrid>
      <w:tr w:rsidR="00FF78F9" w:rsidRPr="00634648" w:rsidTr="009D2A12">
        <w:tc>
          <w:tcPr>
            <w:tcW w:w="2694" w:type="dxa"/>
            <w:tcBorders>
              <w:top w:val="nil"/>
              <w:left w:val="nil"/>
              <w:bottom w:val="single" w:sz="4" w:space="0" w:color="auto"/>
              <w:right w:val="single" w:sz="4" w:space="0" w:color="auto"/>
            </w:tcBorders>
          </w:tcPr>
          <w:p w:rsidR="00FF78F9" w:rsidRPr="00634648" w:rsidRDefault="00FF78F9" w:rsidP="000B682F">
            <w:pPr>
              <w:jc w:val="center"/>
              <w:rPr>
                <w:rFonts w:ascii="Arial" w:hAnsi="Arial" w:cs="Arial"/>
                <w:sz w:val="16"/>
                <w:szCs w:val="16"/>
              </w:rPr>
            </w:pPr>
          </w:p>
        </w:tc>
        <w:tc>
          <w:tcPr>
            <w:tcW w:w="850" w:type="dxa"/>
            <w:tcBorders>
              <w:left w:val="single" w:sz="4" w:space="0" w:color="auto"/>
            </w:tcBorders>
          </w:tcPr>
          <w:p w:rsidR="00FF78F9" w:rsidRPr="00634648" w:rsidRDefault="00FF78F9" w:rsidP="000B682F">
            <w:pPr>
              <w:jc w:val="center"/>
              <w:rPr>
                <w:rFonts w:ascii="Arial" w:hAnsi="Arial" w:cs="Arial"/>
                <w:sz w:val="16"/>
                <w:szCs w:val="16"/>
              </w:rPr>
            </w:pPr>
            <w:r w:rsidRPr="00634648">
              <w:rPr>
                <w:rFonts w:ascii="Arial" w:hAnsi="Arial" w:cs="Arial"/>
                <w:sz w:val="16"/>
                <w:szCs w:val="16"/>
              </w:rPr>
              <w:t>Sul-80</w:t>
            </w:r>
          </w:p>
        </w:tc>
        <w:tc>
          <w:tcPr>
            <w:tcW w:w="709" w:type="dxa"/>
          </w:tcPr>
          <w:p w:rsidR="00FF78F9" w:rsidRPr="00634648" w:rsidRDefault="00FF78F9" w:rsidP="000B682F">
            <w:pPr>
              <w:jc w:val="center"/>
              <w:rPr>
                <w:rFonts w:ascii="Arial" w:hAnsi="Arial" w:cs="Arial"/>
                <w:sz w:val="16"/>
                <w:szCs w:val="16"/>
              </w:rPr>
            </w:pPr>
            <w:r w:rsidRPr="00634648">
              <w:rPr>
                <w:rFonts w:ascii="Arial" w:hAnsi="Arial" w:cs="Arial"/>
                <w:sz w:val="16"/>
                <w:szCs w:val="16"/>
              </w:rPr>
              <w:t>SE-80</w:t>
            </w:r>
          </w:p>
        </w:tc>
        <w:tc>
          <w:tcPr>
            <w:tcW w:w="850" w:type="dxa"/>
          </w:tcPr>
          <w:p w:rsidR="00FF78F9" w:rsidRPr="00634648" w:rsidRDefault="00FF78F9" w:rsidP="000B682F">
            <w:pPr>
              <w:jc w:val="center"/>
              <w:rPr>
                <w:rFonts w:ascii="Arial" w:hAnsi="Arial" w:cs="Arial"/>
                <w:sz w:val="16"/>
                <w:szCs w:val="16"/>
              </w:rPr>
            </w:pPr>
            <w:r w:rsidRPr="00634648">
              <w:rPr>
                <w:rFonts w:ascii="Arial" w:hAnsi="Arial" w:cs="Arial"/>
                <w:sz w:val="16"/>
                <w:szCs w:val="16"/>
              </w:rPr>
              <w:t>SES-82</w:t>
            </w:r>
          </w:p>
        </w:tc>
        <w:tc>
          <w:tcPr>
            <w:tcW w:w="851" w:type="dxa"/>
          </w:tcPr>
          <w:p w:rsidR="00FF78F9" w:rsidRPr="00634648" w:rsidRDefault="00FF78F9" w:rsidP="000B682F">
            <w:pPr>
              <w:jc w:val="center"/>
              <w:rPr>
                <w:rFonts w:ascii="Arial" w:hAnsi="Arial" w:cs="Arial"/>
                <w:sz w:val="16"/>
                <w:szCs w:val="16"/>
              </w:rPr>
            </w:pPr>
            <w:r w:rsidRPr="00634648">
              <w:rPr>
                <w:rFonts w:ascii="Arial" w:hAnsi="Arial" w:cs="Arial"/>
                <w:sz w:val="16"/>
                <w:szCs w:val="16"/>
              </w:rPr>
              <w:t>SES-86</w:t>
            </w:r>
          </w:p>
        </w:tc>
        <w:tc>
          <w:tcPr>
            <w:tcW w:w="850" w:type="dxa"/>
          </w:tcPr>
          <w:p w:rsidR="00FF78F9" w:rsidRPr="00634648" w:rsidRDefault="00FF78F9" w:rsidP="000B682F">
            <w:pPr>
              <w:jc w:val="center"/>
              <w:rPr>
                <w:rFonts w:ascii="Arial" w:hAnsi="Arial" w:cs="Arial"/>
                <w:sz w:val="16"/>
                <w:szCs w:val="16"/>
              </w:rPr>
            </w:pPr>
            <w:r w:rsidRPr="00634648">
              <w:rPr>
                <w:rFonts w:ascii="Arial" w:hAnsi="Arial" w:cs="Arial"/>
                <w:sz w:val="16"/>
                <w:szCs w:val="16"/>
              </w:rPr>
              <w:t>SES-90</w:t>
            </w:r>
          </w:p>
        </w:tc>
        <w:tc>
          <w:tcPr>
            <w:tcW w:w="851" w:type="dxa"/>
          </w:tcPr>
          <w:p w:rsidR="00FF78F9" w:rsidRPr="00634648" w:rsidRDefault="00FF78F9" w:rsidP="000B682F">
            <w:pPr>
              <w:jc w:val="center"/>
              <w:rPr>
                <w:rFonts w:ascii="Arial" w:hAnsi="Arial" w:cs="Arial"/>
                <w:sz w:val="16"/>
                <w:szCs w:val="16"/>
              </w:rPr>
            </w:pPr>
            <w:r w:rsidRPr="00634648">
              <w:rPr>
                <w:rFonts w:ascii="Arial" w:hAnsi="Arial" w:cs="Arial"/>
                <w:sz w:val="16"/>
                <w:szCs w:val="16"/>
              </w:rPr>
              <w:t>SES-95</w:t>
            </w:r>
          </w:p>
        </w:tc>
      </w:tr>
      <w:tr w:rsidR="00FF78F9" w:rsidRPr="00634648" w:rsidTr="009D2A12">
        <w:tc>
          <w:tcPr>
            <w:tcW w:w="2694" w:type="dxa"/>
            <w:tcBorders>
              <w:top w:val="single" w:sz="4" w:space="0" w:color="auto"/>
            </w:tcBorders>
          </w:tcPr>
          <w:p w:rsidR="00FF78F9" w:rsidRPr="00634648" w:rsidRDefault="00EE5137" w:rsidP="000B682F">
            <w:pPr>
              <w:jc w:val="center"/>
              <w:rPr>
                <w:rFonts w:ascii="Arial" w:hAnsi="Arial" w:cs="Arial"/>
                <w:sz w:val="16"/>
                <w:szCs w:val="16"/>
              </w:rPr>
            </w:pPr>
            <w:r>
              <w:rPr>
                <w:rFonts w:ascii="Arial" w:hAnsi="Arial" w:cs="Arial"/>
                <w:sz w:val="16"/>
                <w:szCs w:val="16"/>
              </w:rPr>
              <w:t>E.</w:t>
            </w:r>
            <w:r w:rsidR="00FF78F9">
              <w:rPr>
                <w:rFonts w:ascii="Arial" w:hAnsi="Arial" w:cs="Arial"/>
                <w:sz w:val="16"/>
                <w:szCs w:val="16"/>
              </w:rPr>
              <w:t>Firme</w:t>
            </w:r>
            <w:r>
              <w:rPr>
                <w:rFonts w:ascii="Arial" w:hAnsi="Arial" w:cs="Arial"/>
                <w:sz w:val="16"/>
                <w:szCs w:val="16"/>
              </w:rPr>
              <w:t xml:space="preserve"> Hidráulica</w:t>
            </w:r>
            <w:r w:rsidR="00FF78F9">
              <w:rPr>
                <w:rFonts w:ascii="Arial" w:hAnsi="Arial" w:cs="Arial"/>
                <w:sz w:val="16"/>
                <w:szCs w:val="16"/>
              </w:rPr>
              <w:t xml:space="preserve"> - MWa</w:t>
            </w:r>
          </w:p>
        </w:tc>
        <w:tc>
          <w:tcPr>
            <w:tcW w:w="850" w:type="dxa"/>
          </w:tcPr>
          <w:p w:rsidR="00FF78F9" w:rsidRPr="00634648" w:rsidRDefault="00FF78F9" w:rsidP="000B682F">
            <w:pPr>
              <w:jc w:val="center"/>
              <w:rPr>
                <w:rFonts w:ascii="Arial" w:hAnsi="Arial" w:cs="Arial"/>
                <w:sz w:val="16"/>
                <w:szCs w:val="16"/>
              </w:rPr>
            </w:pPr>
            <w:r>
              <w:rPr>
                <w:rFonts w:ascii="Arial" w:hAnsi="Arial" w:cs="Arial"/>
                <w:sz w:val="16"/>
                <w:szCs w:val="16"/>
              </w:rPr>
              <w:t>598</w:t>
            </w:r>
          </w:p>
        </w:tc>
        <w:tc>
          <w:tcPr>
            <w:tcW w:w="709" w:type="dxa"/>
          </w:tcPr>
          <w:p w:rsidR="00FF78F9" w:rsidRPr="00634648" w:rsidRDefault="00FF78F9" w:rsidP="000B682F">
            <w:pPr>
              <w:jc w:val="center"/>
              <w:rPr>
                <w:rFonts w:ascii="Arial" w:hAnsi="Arial" w:cs="Arial"/>
                <w:sz w:val="16"/>
                <w:szCs w:val="16"/>
              </w:rPr>
            </w:pPr>
            <w:r>
              <w:rPr>
                <w:rFonts w:ascii="Arial" w:hAnsi="Arial" w:cs="Arial"/>
                <w:sz w:val="16"/>
                <w:szCs w:val="16"/>
              </w:rPr>
              <w:t>8.774</w:t>
            </w:r>
          </w:p>
        </w:tc>
        <w:tc>
          <w:tcPr>
            <w:tcW w:w="850" w:type="dxa"/>
          </w:tcPr>
          <w:p w:rsidR="00FF78F9" w:rsidRPr="00634648" w:rsidRDefault="00FF78F9" w:rsidP="000B682F">
            <w:pPr>
              <w:jc w:val="center"/>
              <w:rPr>
                <w:rFonts w:ascii="Arial" w:hAnsi="Arial" w:cs="Arial"/>
                <w:sz w:val="16"/>
                <w:szCs w:val="16"/>
              </w:rPr>
            </w:pPr>
            <w:r>
              <w:rPr>
                <w:rFonts w:ascii="Arial" w:hAnsi="Arial" w:cs="Arial"/>
                <w:sz w:val="16"/>
                <w:szCs w:val="16"/>
              </w:rPr>
              <w:t>12.856</w:t>
            </w:r>
          </w:p>
        </w:tc>
        <w:tc>
          <w:tcPr>
            <w:tcW w:w="851" w:type="dxa"/>
          </w:tcPr>
          <w:p w:rsidR="00FF78F9" w:rsidRPr="00634648" w:rsidRDefault="00FF78F9" w:rsidP="000B682F">
            <w:pPr>
              <w:jc w:val="center"/>
              <w:rPr>
                <w:rFonts w:ascii="Arial" w:hAnsi="Arial" w:cs="Arial"/>
                <w:sz w:val="16"/>
                <w:szCs w:val="16"/>
              </w:rPr>
            </w:pPr>
            <w:r>
              <w:rPr>
                <w:rFonts w:ascii="Arial" w:hAnsi="Arial" w:cs="Arial"/>
                <w:sz w:val="16"/>
                <w:szCs w:val="16"/>
              </w:rPr>
              <w:t>22.960</w:t>
            </w:r>
          </w:p>
        </w:tc>
        <w:tc>
          <w:tcPr>
            <w:tcW w:w="850" w:type="dxa"/>
          </w:tcPr>
          <w:p w:rsidR="00FF78F9" w:rsidRPr="00634648" w:rsidRDefault="00FF78F9" w:rsidP="000B682F">
            <w:pPr>
              <w:jc w:val="center"/>
              <w:rPr>
                <w:rFonts w:ascii="Arial" w:hAnsi="Arial" w:cs="Arial"/>
                <w:sz w:val="16"/>
                <w:szCs w:val="16"/>
              </w:rPr>
            </w:pPr>
            <w:r>
              <w:rPr>
                <w:rFonts w:ascii="Arial" w:hAnsi="Arial" w:cs="Arial"/>
                <w:sz w:val="16"/>
                <w:szCs w:val="16"/>
              </w:rPr>
              <w:t>28.625</w:t>
            </w:r>
          </w:p>
        </w:tc>
        <w:tc>
          <w:tcPr>
            <w:tcW w:w="851" w:type="dxa"/>
          </w:tcPr>
          <w:p w:rsidR="00FF78F9" w:rsidRPr="00634648" w:rsidRDefault="00FF78F9" w:rsidP="000B682F">
            <w:pPr>
              <w:jc w:val="center"/>
              <w:rPr>
                <w:rFonts w:ascii="Arial" w:hAnsi="Arial" w:cs="Arial"/>
                <w:sz w:val="16"/>
                <w:szCs w:val="16"/>
              </w:rPr>
            </w:pPr>
            <w:r>
              <w:rPr>
                <w:rFonts w:ascii="Arial" w:hAnsi="Arial" w:cs="Arial"/>
                <w:sz w:val="16"/>
                <w:szCs w:val="16"/>
              </w:rPr>
              <w:t>35.188</w:t>
            </w:r>
          </w:p>
        </w:tc>
      </w:tr>
      <w:tr w:rsidR="009D2A12" w:rsidRPr="00634648" w:rsidTr="009D2A12">
        <w:tc>
          <w:tcPr>
            <w:tcW w:w="2694" w:type="dxa"/>
          </w:tcPr>
          <w:p w:rsidR="009D2A12" w:rsidRPr="00634648" w:rsidRDefault="00EE5137" w:rsidP="000B682F">
            <w:pPr>
              <w:jc w:val="center"/>
              <w:rPr>
                <w:rFonts w:ascii="Arial" w:hAnsi="Arial" w:cs="Arial"/>
                <w:sz w:val="16"/>
                <w:szCs w:val="16"/>
              </w:rPr>
            </w:pPr>
            <w:r>
              <w:rPr>
                <w:rFonts w:ascii="Arial" w:hAnsi="Arial" w:cs="Arial"/>
                <w:sz w:val="16"/>
                <w:szCs w:val="16"/>
              </w:rPr>
              <w:t xml:space="preserve">E. </w:t>
            </w:r>
            <w:r w:rsidR="009D2A12">
              <w:rPr>
                <w:rFonts w:ascii="Arial" w:hAnsi="Arial" w:cs="Arial"/>
                <w:sz w:val="16"/>
                <w:szCs w:val="16"/>
              </w:rPr>
              <w:t>Firme</w:t>
            </w:r>
            <w:r>
              <w:rPr>
                <w:rFonts w:ascii="Arial" w:hAnsi="Arial" w:cs="Arial"/>
                <w:sz w:val="16"/>
                <w:szCs w:val="16"/>
              </w:rPr>
              <w:t xml:space="preserve"> Hidro Média</w:t>
            </w:r>
            <w:r w:rsidR="009D2A12">
              <w:rPr>
                <w:rFonts w:ascii="Arial" w:hAnsi="Arial" w:cs="Arial"/>
                <w:sz w:val="16"/>
                <w:szCs w:val="16"/>
              </w:rPr>
              <w:t xml:space="preserve"> - MWa</w:t>
            </w:r>
          </w:p>
        </w:tc>
        <w:tc>
          <w:tcPr>
            <w:tcW w:w="850" w:type="dxa"/>
          </w:tcPr>
          <w:p w:rsidR="009D2A12" w:rsidRPr="00634648" w:rsidRDefault="009D2A12" w:rsidP="000B682F">
            <w:pPr>
              <w:jc w:val="center"/>
              <w:rPr>
                <w:rFonts w:ascii="Arial" w:hAnsi="Arial" w:cs="Arial"/>
                <w:sz w:val="16"/>
                <w:szCs w:val="16"/>
              </w:rPr>
            </w:pPr>
            <w:r>
              <w:rPr>
                <w:rFonts w:ascii="Arial" w:hAnsi="Arial" w:cs="Arial"/>
                <w:sz w:val="16"/>
                <w:szCs w:val="16"/>
              </w:rPr>
              <w:t>715</w:t>
            </w:r>
          </w:p>
        </w:tc>
        <w:tc>
          <w:tcPr>
            <w:tcW w:w="709" w:type="dxa"/>
          </w:tcPr>
          <w:p w:rsidR="009D2A12" w:rsidRPr="00634648" w:rsidRDefault="009D2A12" w:rsidP="000B682F">
            <w:pPr>
              <w:jc w:val="center"/>
              <w:rPr>
                <w:rFonts w:ascii="Arial" w:hAnsi="Arial" w:cs="Arial"/>
                <w:sz w:val="16"/>
                <w:szCs w:val="16"/>
              </w:rPr>
            </w:pPr>
            <w:r>
              <w:rPr>
                <w:rFonts w:ascii="Arial" w:hAnsi="Arial" w:cs="Arial"/>
                <w:sz w:val="16"/>
                <w:szCs w:val="16"/>
              </w:rPr>
              <w:t>9.401</w:t>
            </w:r>
          </w:p>
        </w:tc>
        <w:tc>
          <w:tcPr>
            <w:tcW w:w="850" w:type="dxa"/>
          </w:tcPr>
          <w:p w:rsidR="009D2A12" w:rsidRPr="00634648" w:rsidRDefault="009D2A12" w:rsidP="000B682F">
            <w:pPr>
              <w:jc w:val="center"/>
              <w:rPr>
                <w:rFonts w:ascii="Arial" w:hAnsi="Arial" w:cs="Arial"/>
                <w:sz w:val="16"/>
                <w:szCs w:val="16"/>
              </w:rPr>
            </w:pPr>
            <w:r>
              <w:rPr>
                <w:rFonts w:ascii="Arial" w:hAnsi="Arial" w:cs="Arial"/>
                <w:sz w:val="16"/>
                <w:szCs w:val="16"/>
              </w:rPr>
              <w:t>13.004</w:t>
            </w:r>
          </w:p>
        </w:tc>
        <w:tc>
          <w:tcPr>
            <w:tcW w:w="851" w:type="dxa"/>
          </w:tcPr>
          <w:p w:rsidR="009D2A12" w:rsidRPr="00634648" w:rsidRDefault="009D2A12" w:rsidP="000B682F">
            <w:pPr>
              <w:jc w:val="center"/>
              <w:rPr>
                <w:rFonts w:ascii="Arial" w:hAnsi="Arial" w:cs="Arial"/>
                <w:sz w:val="16"/>
                <w:szCs w:val="16"/>
              </w:rPr>
            </w:pPr>
            <w:r>
              <w:rPr>
                <w:rFonts w:ascii="Arial" w:hAnsi="Arial" w:cs="Arial"/>
                <w:sz w:val="16"/>
                <w:szCs w:val="16"/>
              </w:rPr>
              <w:t>22.806</w:t>
            </w:r>
          </w:p>
        </w:tc>
        <w:tc>
          <w:tcPr>
            <w:tcW w:w="850" w:type="dxa"/>
          </w:tcPr>
          <w:p w:rsidR="009D2A12" w:rsidRPr="00634648" w:rsidRDefault="009D2A12" w:rsidP="000B682F">
            <w:pPr>
              <w:jc w:val="center"/>
              <w:rPr>
                <w:rFonts w:ascii="Arial" w:hAnsi="Arial" w:cs="Arial"/>
                <w:sz w:val="16"/>
                <w:szCs w:val="16"/>
              </w:rPr>
            </w:pPr>
            <w:r>
              <w:rPr>
                <w:rFonts w:ascii="Arial" w:hAnsi="Arial" w:cs="Arial"/>
                <w:sz w:val="16"/>
                <w:szCs w:val="16"/>
              </w:rPr>
              <w:t>28.672</w:t>
            </w:r>
          </w:p>
        </w:tc>
        <w:tc>
          <w:tcPr>
            <w:tcW w:w="851" w:type="dxa"/>
          </w:tcPr>
          <w:p w:rsidR="009D2A12" w:rsidRPr="00634648" w:rsidRDefault="009D2A12" w:rsidP="000B682F">
            <w:pPr>
              <w:jc w:val="center"/>
              <w:rPr>
                <w:rFonts w:ascii="Arial" w:hAnsi="Arial" w:cs="Arial"/>
                <w:sz w:val="16"/>
                <w:szCs w:val="16"/>
              </w:rPr>
            </w:pPr>
            <w:r>
              <w:rPr>
                <w:rFonts w:ascii="Arial" w:hAnsi="Arial" w:cs="Arial"/>
                <w:sz w:val="16"/>
                <w:szCs w:val="16"/>
              </w:rPr>
              <w:t>35.337</w:t>
            </w:r>
          </w:p>
        </w:tc>
      </w:tr>
      <w:tr w:rsidR="009D2A12" w:rsidRPr="00634648" w:rsidTr="009D2A12">
        <w:tc>
          <w:tcPr>
            <w:tcW w:w="2694" w:type="dxa"/>
          </w:tcPr>
          <w:p w:rsidR="009D2A12" w:rsidRPr="00634648" w:rsidRDefault="00EE5137" w:rsidP="000B682F">
            <w:pPr>
              <w:jc w:val="center"/>
              <w:rPr>
                <w:rFonts w:ascii="Arial" w:hAnsi="Arial" w:cs="Arial"/>
                <w:sz w:val="16"/>
                <w:szCs w:val="16"/>
              </w:rPr>
            </w:pPr>
            <w:r>
              <w:rPr>
                <w:rFonts w:ascii="Arial" w:hAnsi="Arial" w:cs="Arial"/>
                <w:sz w:val="16"/>
                <w:szCs w:val="16"/>
              </w:rPr>
              <w:t xml:space="preserve">Desvio Padrão da E. </w:t>
            </w:r>
            <w:r w:rsidR="009D2A12">
              <w:rPr>
                <w:rFonts w:ascii="Arial" w:hAnsi="Arial" w:cs="Arial"/>
                <w:sz w:val="16"/>
                <w:szCs w:val="16"/>
              </w:rPr>
              <w:t>Firme</w:t>
            </w:r>
            <w:r>
              <w:rPr>
                <w:rFonts w:ascii="Arial" w:hAnsi="Arial" w:cs="Arial"/>
                <w:sz w:val="16"/>
                <w:szCs w:val="16"/>
              </w:rPr>
              <w:t xml:space="preserve"> Hidro Média</w:t>
            </w:r>
            <w:r w:rsidR="009D2A12">
              <w:rPr>
                <w:rFonts w:ascii="Arial" w:hAnsi="Arial" w:cs="Arial"/>
                <w:sz w:val="16"/>
                <w:szCs w:val="16"/>
              </w:rPr>
              <w:t xml:space="preserve"> - MWa</w:t>
            </w:r>
          </w:p>
        </w:tc>
        <w:tc>
          <w:tcPr>
            <w:tcW w:w="850" w:type="dxa"/>
          </w:tcPr>
          <w:p w:rsidR="009D2A12" w:rsidRPr="00132E6E" w:rsidRDefault="009D2A12" w:rsidP="000B682F">
            <w:pPr>
              <w:jc w:val="center"/>
              <w:rPr>
                <w:rFonts w:ascii="Arial" w:hAnsi="Arial" w:cs="Arial"/>
                <w:sz w:val="16"/>
                <w:szCs w:val="16"/>
              </w:rPr>
            </w:pPr>
            <w:r>
              <w:rPr>
                <w:rFonts w:ascii="Arial" w:hAnsi="Arial" w:cs="Arial"/>
                <w:sz w:val="16"/>
                <w:szCs w:val="16"/>
              </w:rPr>
              <w:t>63</w:t>
            </w:r>
          </w:p>
        </w:tc>
        <w:tc>
          <w:tcPr>
            <w:tcW w:w="709" w:type="dxa"/>
          </w:tcPr>
          <w:p w:rsidR="009D2A12" w:rsidRPr="00132E6E" w:rsidRDefault="009D2A12" w:rsidP="000B682F">
            <w:pPr>
              <w:jc w:val="center"/>
              <w:rPr>
                <w:rFonts w:ascii="Arial" w:hAnsi="Arial" w:cs="Arial"/>
                <w:sz w:val="16"/>
                <w:szCs w:val="16"/>
              </w:rPr>
            </w:pPr>
            <w:r>
              <w:rPr>
                <w:rFonts w:ascii="Arial" w:hAnsi="Arial" w:cs="Arial"/>
                <w:sz w:val="16"/>
                <w:szCs w:val="16"/>
              </w:rPr>
              <w:t>729</w:t>
            </w:r>
          </w:p>
        </w:tc>
        <w:tc>
          <w:tcPr>
            <w:tcW w:w="850" w:type="dxa"/>
          </w:tcPr>
          <w:p w:rsidR="009D2A12" w:rsidRPr="00132E6E" w:rsidRDefault="009D2A12" w:rsidP="000B682F">
            <w:pPr>
              <w:jc w:val="center"/>
              <w:rPr>
                <w:rFonts w:ascii="Arial" w:hAnsi="Arial" w:cs="Arial"/>
                <w:sz w:val="16"/>
                <w:szCs w:val="16"/>
              </w:rPr>
            </w:pPr>
            <w:r>
              <w:rPr>
                <w:rFonts w:ascii="Arial" w:hAnsi="Arial" w:cs="Arial"/>
                <w:sz w:val="16"/>
                <w:szCs w:val="16"/>
              </w:rPr>
              <w:t>750</w:t>
            </w:r>
          </w:p>
        </w:tc>
        <w:tc>
          <w:tcPr>
            <w:tcW w:w="851" w:type="dxa"/>
          </w:tcPr>
          <w:p w:rsidR="009D2A12" w:rsidRPr="00634648" w:rsidRDefault="009D2A12" w:rsidP="000B682F">
            <w:pPr>
              <w:jc w:val="center"/>
              <w:rPr>
                <w:rFonts w:ascii="Arial" w:hAnsi="Arial" w:cs="Arial"/>
                <w:sz w:val="16"/>
                <w:szCs w:val="16"/>
              </w:rPr>
            </w:pPr>
            <w:r>
              <w:rPr>
                <w:rFonts w:ascii="Arial" w:hAnsi="Arial" w:cs="Arial"/>
                <w:sz w:val="16"/>
                <w:szCs w:val="16"/>
              </w:rPr>
              <w:t>1.773</w:t>
            </w:r>
          </w:p>
        </w:tc>
        <w:tc>
          <w:tcPr>
            <w:tcW w:w="850" w:type="dxa"/>
          </w:tcPr>
          <w:p w:rsidR="009D2A12" w:rsidRPr="00634648" w:rsidRDefault="009D2A12" w:rsidP="000B682F">
            <w:pPr>
              <w:jc w:val="center"/>
              <w:rPr>
                <w:rFonts w:ascii="Arial" w:hAnsi="Arial" w:cs="Arial"/>
                <w:sz w:val="16"/>
                <w:szCs w:val="16"/>
              </w:rPr>
            </w:pPr>
            <w:r>
              <w:rPr>
                <w:rFonts w:ascii="Arial" w:hAnsi="Arial" w:cs="Arial"/>
                <w:sz w:val="16"/>
                <w:szCs w:val="16"/>
              </w:rPr>
              <w:t>2.157</w:t>
            </w:r>
          </w:p>
        </w:tc>
        <w:tc>
          <w:tcPr>
            <w:tcW w:w="851" w:type="dxa"/>
          </w:tcPr>
          <w:p w:rsidR="009D2A12" w:rsidRPr="00634648" w:rsidRDefault="009D2A12" w:rsidP="000B682F">
            <w:pPr>
              <w:jc w:val="center"/>
              <w:rPr>
                <w:rFonts w:ascii="Arial" w:hAnsi="Arial" w:cs="Arial"/>
                <w:sz w:val="16"/>
                <w:szCs w:val="16"/>
              </w:rPr>
            </w:pPr>
            <w:r>
              <w:rPr>
                <w:rFonts w:ascii="Arial" w:hAnsi="Arial" w:cs="Arial"/>
                <w:sz w:val="16"/>
                <w:szCs w:val="16"/>
              </w:rPr>
              <w:t>3.038</w:t>
            </w:r>
          </w:p>
        </w:tc>
      </w:tr>
      <w:tr w:rsidR="009D2A12" w:rsidRPr="00634648" w:rsidTr="009D2A12">
        <w:tc>
          <w:tcPr>
            <w:tcW w:w="2694" w:type="dxa"/>
          </w:tcPr>
          <w:p w:rsidR="009D2A12" w:rsidRPr="00634648" w:rsidRDefault="009D2A12" w:rsidP="000B682F">
            <w:pPr>
              <w:jc w:val="center"/>
              <w:rPr>
                <w:rFonts w:ascii="Arial" w:hAnsi="Arial" w:cs="Arial"/>
                <w:sz w:val="16"/>
                <w:szCs w:val="16"/>
              </w:rPr>
            </w:pPr>
            <w:r>
              <w:rPr>
                <w:rFonts w:ascii="Arial" w:hAnsi="Arial" w:cs="Arial"/>
                <w:sz w:val="16"/>
                <w:szCs w:val="16"/>
              </w:rPr>
              <w:t>Duração do Período Crítico</w:t>
            </w:r>
            <w:r w:rsidR="00EE5137">
              <w:rPr>
                <w:rFonts w:ascii="Arial" w:hAnsi="Arial" w:cs="Arial"/>
                <w:sz w:val="16"/>
                <w:szCs w:val="16"/>
              </w:rPr>
              <w:t xml:space="preserve"> </w:t>
            </w:r>
            <w:r w:rsidR="00827B57">
              <w:rPr>
                <w:rFonts w:ascii="Arial" w:hAnsi="Arial" w:cs="Arial"/>
                <w:sz w:val="16"/>
                <w:szCs w:val="16"/>
              </w:rPr>
              <w:t xml:space="preserve">- </w:t>
            </w:r>
            <w:r w:rsidR="00EE5137">
              <w:rPr>
                <w:rFonts w:ascii="Arial" w:hAnsi="Arial" w:cs="Arial"/>
                <w:sz w:val="16"/>
                <w:szCs w:val="16"/>
              </w:rPr>
              <w:t>(meses)</w:t>
            </w:r>
          </w:p>
        </w:tc>
        <w:tc>
          <w:tcPr>
            <w:tcW w:w="850" w:type="dxa"/>
          </w:tcPr>
          <w:p w:rsidR="009D2A12" w:rsidRPr="00132E6E" w:rsidRDefault="009D2A12" w:rsidP="000B682F">
            <w:pPr>
              <w:jc w:val="center"/>
              <w:rPr>
                <w:rFonts w:ascii="Arial" w:hAnsi="Arial" w:cs="Arial"/>
                <w:sz w:val="16"/>
                <w:szCs w:val="16"/>
              </w:rPr>
            </w:pPr>
            <w:r w:rsidRPr="00132E6E">
              <w:rPr>
                <w:rFonts w:ascii="Arial" w:hAnsi="Arial" w:cs="Arial"/>
                <w:sz w:val="16"/>
                <w:szCs w:val="16"/>
              </w:rPr>
              <w:t>15</w:t>
            </w:r>
          </w:p>
        </w:tc>
        <w:tc>
          <w:tcPr>
            <w:tcW w:w="709" w:type="dxa"/>
          </w:tcPr>
          <w:p w:rsidR="009D2A12" w:rsidRPr="00132E6E" w:rsidRDefault="009D2A12" w:rsidP="000B682F">
            <w:pPr>
              <w:jc w:val="center"/>
              <w:rPr>
                <w:rFonts w:ascii="Arial" w:hAnsi="Arial" w:cs="Arial"/>
                <w:sz w:val="16"/>
                <w:szCs w:val="16"/>
              </w:rPr>
            </w:pPr>
            <w:r w:rsidRPr="00132E6E">
              <w:rPr>
                <w:rFonts w:ascii="Arial" w:hAnsi="Arial" w:cs="Arial"/>
                <w:sz w:val="16"/>
                <w:szCs w:val="16"/>
              </w:rPr>
              <w:t>53</w:t>
            </w:r>
          </w:p>
        </w:tc>
        <w:tc>
          <w:tcPr>
            <w:tcW w:w="850" w:type="dxa"/>
          </w:tcPr>
          <w:p w:rsidR="009D2A12" w:rsidRPr="00132E6E" w:rsidRDefault="009D2A12" w:rsidP="000B682F">
            <w:pPr>
              <w:jc w:val="center"/>
              <w:rPr>
                <w:rFonts w:ascii="Arial" w:hAnsi="Arial" w:cs="Arial"/>
                <w:sz w:val="16"/>
                <w:szCs w:val="16"/>
              </w:rPr>
            </w:pPr>
            <w:r w:rsidRPr="00132E6E">
              <w:rPr>
                <w:rFonts w:ascii="Arial" w:hAnsi="Arial" w:cs="Arial"/>
                <w:sz w:val="16"/>
                <w:szCs w:val="16"/>
              </w:rPr>
              <w:t>55</w:t>
            </w:r>
          </w:p>
        </w:tc>
        <w:tc>
          <w:tcPr>
            <w:tcW w:w="851" w:type="dxa"/>
          </w:tcPr>
          <w:p w:rsidR="009D2A12" w:rsidRPr="00132E6E" w:rsidRDefault="009D2A12" w:rsidP="000B682F">
            <w:pPr>
              <w:jc w:val="center"/>
              <w:rPr>
                <w:rFonts w:ascii="Arial" w:hAnsi="Arial" w:cs="Arial"/>
                <w:sz w:val="16"/>
                <w:szCs w:val="16"/>
              </w:rPr>
            </w:pPr>
            <w:r w:rsidRPr="00132E6E">
              <w:rPr>
                <w:rFonts w:ascii="Arial" w:hAnsi="Arial" w:cs="Arial"/>
                <w:sz w:val="16"/>
                <w:szCs w:val="16"/>
              </w:rPr>
              <w:t>55</w:t>
            </w:r>
          </w:p>
        </w:tc>
        <w:tc>
          <w:tcPr>
            <w:tcW w:w="850" w:type="dxa"/>
          </w:tcPr>
          <w:p w:rsidR="009D2A12" w:rsidRPr="00132E6E" w:rsidRDefault="009D2A12" w:rsidP="000B682F">
            <w:pPr>
              <w:jc w:val="center"/>
              <w:rPr>
                <w:rFonts w:ascii="Arial" w:hAnsi="Arial" w:cs="Arial"/>
                <w:sz w:val="16"/>
                <w:szCs w:val="16"/>
              </w:rPr>
            </w:pPr>
            <w:r w:rsidRPr="00132E6E">
              <w:rPr>
                <w:rFonts w:ascii="Arial" w:hAnsi="Arial" w:cs="Arial"/>
                <w:sz w:val="16"/>
                <w:szCs w:val="16"/>
              </w:rPr>
              <w:t>55</w:t>
            </w:r>
          </w:p>
        </w:tc>
        <w:tc>
          <w:tcPr>
            <w:tcW w:w="851" w:type="dxa"/>
          </w:tcPr>
          <w:p w:rsidR="009D2A12" w:rsidRPr="00132E6E" w:rsidRDefault="009D2A12" w:rsidP="000B682F">
            <w:pPr>
              <w:jc w:val="center"/>
              <w:rPr>
                <w:rFonts w:ascii="Arial" w:hAnsi="Arial" w:cs="Arial"/>
                <w:sz w:val="16"/>
                <w:szCs w:val="16"/>
              </w:rPr>
            </w:pPr>
            <w:r w:rsidRPr="00132E6E">
              <w:rPr>
                <w:rFonts w:ascii="Arial" w:hAnsi="Arial" w:cs="Arial"/>
                <w:sz w:val="16"/>
                <w:szCs w:val="16"/>
              </w:rPr>
              <w:t>67</w:t>
            </w:r>
          </w:p>
        </w:tc>
      </w:tr>
      <w:tr w:rsidR="009D2A12" w:rsidTr="009D2A12">
        <w:tc>
          <w:tcPr>
            <w:tcW w:w="2694" w:type="dxa"/>
          </w:tcPr>
          <w:p w:rsidR="009D2A12" w:rsidRPr="00634648" w:rsidRDefault="009D2A12" w:rsidP="000B682F">
            <w:pPr>
              <w:jc w:val="center"/>
              <w:rPr>
                <w:rFonts w:ascii="Arial" w:hAnsi="Arial" w:cs="Arial"/>
                <w:sz w:val="16"/>
                <w:szCs w:val="16"/>
              </w:rPr>
            </w:pPr>
            <w:r>
              <w:rPr>
                <w:rFonts w:ascii="Arial" w:hAnsi="Arial" w:cs="Arial"/>
                <w:sz w:val="16"/>
                <w:szCs w:val="16"/>
              </w:rPr>
              <w:t xml:space="preserve">Duração </w:t>
            </w:r>
            <w:r w:rsidR="00EE5137">
              <w:rPr>
                <w:rFonts w:ascii="Arial" w:hAnsi="Arial" w:cs="Arial"/>
                <w:sz w:val="16"/>
                <w:szCs w:val="16"/>
              </w:rPr>
              <w:t xml:space="preserve">Média </w:t>
            </w:r>
            <w:r>
              <w:rPr>
                <w:rFonts w:ascii="Arial" w:hAnsi="Arial" w:cs="Arial"/>
                <w:sz w:val="16"/>
                <w:szCs w:val="16"/>
              </w:rPr>
              <w:t>do Período Crítico</w:t>
            </w:r>
            <w:r w:rsidR="00827B57">
              <w:rPr>
                <w:rFonts w:ascii="Arial" w:hAnsi="Arial" w:cs="Arial"/>
                <w:sz w:val="16"/>
                <w:szCs w:val="16"/>
              </w:rPr>
              <w:t xml:space="preserve"> (</w:t>
            </w:r>
            <w:r>
              <w:rPr>
                <w:rFonts w:ascii="Arial" w:hAnsi="Arial" w:cs="Arial"/>
                <w:sz w:val="16"/>
                <w:szCs w:val="16"/>
              </w:rPr>
              <w:t>meses</w:t>
            </w:r>
            <w:r w:rsidR="00827B57">
              <w:rPr>
                <w:rFonts w:ascii="Arial" w:hAnsi="Arial" w:cs="Arial"/>
                <w:sz w:val="16"/>
                <w:szCs w:val="16"/>
              </w:rPr>
              <w:t>)</w:t>
            </w:r>
          </w:p>
        </w:tc>
        <w:tc>
          <w:tcPr>
            <w:tcW w:w="850" w:type="dxa"/>
          </w:tcPr>
          <w:p w:rsidR="009D2A12" w:rsidRPr="00132E6E" w:rsidRDefault="009D2A12" w:rsidP="000B682F">
            <w:pPr>
              <w:jc w:val="center"/>
              <w:rPr>
                <w:rFonts w:ascii="Arial" w:hAnsi="Arial" w:cs="Arial"/>
                <w:sz w:val="16"/>
                <w:szCs w:val="16"/>
              </w:rPr>
            </w:pPr>
            <w:r>
              <w:rPr>
                <w:rFonts w:ascii="Arial" w:hAnsi="Arial" w:cs="Arial"/>
                <w:sz w:val="16"/>
                <w:szCs w:val="16"/>
              </w:rPr>
              <w:t>21</w:t>
            </w:r>
          </w:p>
        </w:tc>
        <w:tc>
          <w:tcPr>
            <w:tcW w:w="709" w:type="dxa"/>
          </w:tcPr>
          <w:p w:rsidR="009D2A12" w:rsidRPr="00132E6E" w:rsidRDefault="009D2A12" w:rsidP="000B682F">
            <w:pPr>
              <w:jc w:val="center"/>
              <w:rPr>
                <w:rFonts w:ascii="Arial" w:hAnsi="Arial" w:cs="Arial"/>
                <w:sz w:val="16"/>
                <w:szCs w:val="16"/>
              </w:rPr>
            </w:pPr>
            <w:r>
              <w:rPr>
                <w:rFonts w:ascii="Arial" w:hAnsi="Arial" w:cs="Arial"/>
                <w:sz w:val="16"/>
                <w:szCs w:val="16"/>
              </w:rPr>
              <w:t>48</w:t>
            </w:r>
          </w:p>
        </w:tc>
        <w:tc>
          <w:tcPr>
            <w:tcW w:w="850" w:type="dxa"/>
          </w:tcPr>
          <w:p w:rsidR="009D2A12" w:rsidRPr="00132E6E" w:rsidRDefault="009D2A12" w:rsidP="000B682F">
            <w:pPr>
              <w:jc w:val="center"/>
              <w:rPr>
                <w:rFonts w:ascii="Arial" w:hAnsi="Arial" w:cs="Arial"/>
                <w:sz w:val="16"/>
                <w:szCs w:val="16"/>
              </w:rPr>
            </w:pPr>
            <w:r>
              <w:rPr>
                <w:rFonts w:ascii="Arial" w:hAnsi="Arial" w:cs="Arial"/>
                <w:sz w:val="16"/>
                <w:szCs w:val="16"/>
              </w:rPr>
              <w:t>62</w:t>
            </w:r>
          </w:p>
        </w:tc>
        <w:tc>
          <w:tcPr>
            <w:tcW w:w="851" w:type="dxa"/>
          </w:tcPr>
          <w:p w:rsidR="009D2A12" w:rsidRPr="00132E6E" w:rsidRDefault="009D2A12" w:rsidP="000B682F">
            <w:pPr>
              <w:jc w:val="center"/>
              <w:rPr>
                <w:rFonts w:ascii="Arial" w:hAnsi="Arial" w:cs="Arial"/>
                <w:sz w:val="16"/>
                <w:szCs w:val="16"/>
              </w:rPr>
            </w:pPr>
            <w:r>
              <w:rPr>
                <w:rFonts w:ascii="Arial" w:hAnsi="Arial" w:cs="Arial"/>
                <w:sz w:val="16"/>
                <w:szCs w:val="16"/>
              </w:rPr>
              <w:t>54</w:t>
            </w:r>
          </w:p>
        </w:tc>
        <w:tc>
          <w:tcPr>
            <w:tcW w:w="850" w:type="dxa"/>
          </w:tcPr>
          <w:p w:rsidR="009D2A12" w:rsidRPr="00132E6E" w:rsidRDefault="009D2A12" w:rsidP="000B682F">
            <w:pPr>
              <w:jc w:val="center"/>
              <w:rPr>
                <w:rFonts w:ascii="Arial" w:hAnsi="Arial" w:cs="Arial"/>
                <w:sz w:val="16"/>
                <w:szCs w:val="16"/>
              </w:rPr>
            </w:pPr>
            <w:r>
              <w:rPr>
                <w:rFonts w:ascii="Arial" w:hAnsi="Arial" w:cs="Arial"/>
                <w:sz w:val="16"/>
                <w:szCs w:val="16"/>
              </w:rPr>
              <w:t>64</w:t>
            </w:r>
          </w:p>
        </w:tc>
        <w:tc>
          <w:tcPr>
            <w:tcW w:w="851" w:type="dxa"/>
          </w:tcPr>
          <w:p w:rsidR="009D2A12" w:rsidRPr="00132E6E" w:rsidRDefault="009D2A12" w:rsidP="000B682F">
            <w:pPr>
              <w:jc w:val="center"/>
              <w:rPr>
                <w:rFonts w:ascii="Arial" w:hAnsi="Arial" w:cs="Arial"/>
                <w:sz w:val="16"/>
                <w:szCs w:val="16"/>
              </w:rPr>
            </w:pPr>
            <w:r>
              <w:rPr>
                <w:rFonts w:ascii="Arial" w:hAnsi="Arial" w:cs="Arial"/>
                <w:sz w:val="16"/>
                <w:szCs w:val="16"/>
              </w:rPr>
              <w:t>78</w:t>
            </w:r>
          </w:p>
        </w:tc>
      </w:tr>
      <w:tr w:rsidR="009D2A12" w:rsidTr="009D2A12">
        <w:tc>
          <w:tcPr>
            <w:tcW w:w="2694" w:type="dxa"/>
          </w:tcPr>
          <w:p w:rsidR="009D2A12" w:rsidRPr="00634648" w:rsidRDefault="00827B57" w:rsidP="000B682F">
            <w:pPr>
              <w:jc w:val="center"/>
              <w:rPr>
                <w:rFonts w:ascii="Arial" w:hAnsi="Arial" w:cs="Arial"/>
                <w:sz w:val="16"/>
                <w:szCs w:val="16"/>
              </w:rPr>
            </w:pPr>
            <w:r>
              <w:rPr>
                <w:rFonts w:ascii="Arial" w:hAnsi="Arial" w:cs="Arial"/>
                <w:sz w:val="16"/>
                <w:szCs w:val="16"/>
              </w:rPr>
              <w:t xml:space="preserve">Desvio Padrão da </w:t>
            </w:r>
            <w:r w:rsidR="009D2A12">
              <w:rPr>
                <w:rFonts w:ascii="Arial" w:hAnsi="Arial" w:cs="Arial"/>
                <w:sz w:val="16"/>
                <w:szCs w:val="16"/>
              </w:rPr>
              <w:t xml:space="preserve">Duração do Período Crítico </w:t>
            </w:r>
            <w:r>
              <w:rPr>
                <w:rFonts w:ascii="Arial" w:hAnsi="Arial" w:cs="Arial"/>
                <w:sz w:val="16"/>
                <w:szCs w:val="16"/>
              </w:rPr>
              <w:t>(</w:t>
            </w:r>
            <w:r w:rsidR="009D2A12">
              <w:rPr>
                <w:rFonts w:ascii="Arial" w:hAnsi="Arial" w:cs="Arial"/>
                <w:sz w:val="16"/>
                <w:szCs w:val="16"/>
              </w:rPr>
              <w:t>meses</w:t>
            </w:r>
            <w:r>
              <w:rPr>
                <w:rFonts w:ascii="Arial" w:hAnsi="Arial" w:cs="Arial"/>
                <w:sz w:val="16"/>
                <w:szCs w:val="16"/>
              </w:rPr>
              <w:t>)</w:t>
            </w:r>
          </w:p>
        </w:tc>
        <w:tc>
          <w:tcPr>
            <w:tcW w:w="850" w:type="dxa"/>
          </w:tcPr>
          <w:p w:rsidR="009D2A12" w:rsidRPr="00132E6E" w:rsidRDefault="009D2A12" w:rsidP="000B682F">
            <w:pPr>
              <w:jc w:val="center"/>
              <w:rPr>
                <w:rFonts w:ascii="Arial" w:hAnsi="Arial" w:cs="Arial"/>
                <w:sz w:val="16"/>
                <w:szCs w:val="16"/>
              </w:rPr>
            </w:pPr>
            <w:r>
              <w:rPr>
                <w:rFonts w:ascii="Arial" w:hAnsi="Arial" w:cs="Arial"/>
                <w:sz w:val="16"/>
                <w:szCs w:val="16"/>
              </w:rPr>
              <w:t>9,1</w:t>
            </w:r>
          </w:p>
        </w:tc>
        <w:tc>
          <w:tcPr>
            <w:tcW w:w="709" w:type="dxa"/>
          </w:tcPr>
          <w:p w:rsidR="009D2A12" w:rsidRPr="00132E6E" w:rsidRDefault="009D2A12" w:rsidP="000B682F">
            <w:pPr>
              <w:jc w:val="center"/>
              <w:rPr>
                <w:rFonts w:ascii="Arial" w:hAnsi="Arial" w:cs="Arial"/>
                <w:sz w:val="16"/>
                <w:szCs w:val="16"/>
              </w:rPr>
            </w:pPr>
            <w:r>
              <w:rPr>
                <w:rFonts w:ascii="Arial" w:hAnsi="Arial" w:cs="Arial"/>
                <w:sz w:val="16"/>
                <w:szCs w:val="16"/>
              </w:rPr>
              <w:t>24,3</w:t>
            </w:r>
          </w:p>
        </w:tc>
        <w:tc>
          <w:tcPr>
            <w:tcW w:w="850" w:type="dxa"/>
          </w:tcPr>
          <w:p w:rsidR="009D2A12" w:rsidRPr="00132E6E" w:rsidRDefault="009D2A12" w:rsidP="000B682F">
            <w:pPr>
              <w:jc w:val="center"/>
              <w:rPr>
                <w:rFonts w:ascii="Arial" w:hAnsi="Arial" w:cs="Arial"/>
                <w:sz w:val="16"/>
                <w:szCs w:val="16"/>
              </w:rPr>
            </w:pPr>
            <w:r>
              <w:rPr>
                <w:rFonts w:ascii="Arial" w:hAnsi="Arial" w:cs="Arial"/>
                <w:sz w:val="16"/>
                <w:szCs w:val="16"/>
              </w:rPr>
              <w:t>33,8</w:t>
            </w:r>
          </w:p>
        </w:tc>
        <w:tc>
          <w:tcPr>
            <w:tcW w:w="851" w:type="dxa"/>
          </w:tcPr>
          <w:p w:rsidR="009D2A12" w:rsidRPr="00132E6E" w:rsidRDefault="009D2A12" w:rsidP="000B682F">
            <w:pPr>
              <w:jc w:val="center"/>
              <w:rPr>
                <w:rFonts w:ascii="Arial" w:hAnsi="Arial" w:cs="Arial"/>
                <w:sz w:val="16"/>
                <w:szCs w:val="16"/>
              </w:rPr>
            </w:pPr>
            <w:r>
              <w:rPr>
                <w:rFonts w:ascii="Arial" w:hAnsi="Arial" w:cs="Arial"/>
                <w:sz w:val="16"/>
                <w:szCs w:val="16"/>
              </w:rPr>
              <w:t>33,2</w:t>
            </w:r>
          </w:p>
        </w:tc>
        <w:tc>
          <w:tcPr>
            <w:tcW w:w="850" w:type="dxa"/>
          </w:tcPr>
          <w:p w:rsidR="009D2A12" w:rsidRPr="00132E6E" w:rsidRDefault="009D2A12" w:rsidP="000B682F">
            <w:pPr>
              <w:jc w:val="center"/>
              <w:rPr>
                <w:rFonts w:ascii="Arial" w:hAnsi="Arial" w:cs="Arial"/>
                <w:sz w:val="16"/>
                <w:szCs w:val="16"/>
              </w:rPr>
            </w:pPr>
            <w:r>
              <w:rPr>
                <w:rFonts w:ascii="Arial" w:hAnsi="Arial" w:cs="Arial"/>
                <w:sz w:val="16"/>
                <w:szCs w:val="16"/>
              </w:rPr>
              <w:t>39,1</w:t>
            </w:r>
          </w:p>
        </w:tc>
        <w:tc>
          <w:tcPr>
            <w:tcW w:w="851" w:type="dxa"/>
          </w:tcPr>
          <w:p w:rsidR="009D2A12" w:rsidRPr="00132E6E" w:rsidRDefault="009D2A12" w:rsidP="000B682F">
            <w:pPr>
              <w:jc w:val="center"/>
              <w:rPr>
                <w:rFonts w:ascii="Arial" w:hAnsi="Arial" w:cs="Arial"/>
                <w:sz w:val="16"/>
                <w:szCs w:val="16"/>
              </w:rPr>
            </w:pPr>
            <w:r>
              <w:rPr>
                <w:rFonts w:ascii="Arial" w:hAnsi="Arial" w:cs="Arial"/>
                <w:sz w:val="16"/>
                <w:szCs w:val="16"/>
              </w:rPr>
              <w:t>51,4</w:t>
            </w:r>
          </w:p>
        </w:tc>
      </w:tr>
    </w:tbl>
    <w:p w:rsidR="00FF78F9" w:rsidRDefault="00FF78F9" w:rsidP="00BD7160">
      <w:pPr>
        <w:autoSpaceDE w:val="0"/>
        <w:autoSpaceDN w:val="0"/>
        <w:adjustRightInd w:val="0"/>
        <w:jc w:val="both"/>
        <w:rPr>
          <w:rFonts w:ascii="Arial" w:hAnsi="Arial" w:cs="Arial"/>
          <w:sz w:val="18"/>
          <w:szCs w:val="18"/>
        </w:rPr>
      </w:pPr>
    </w:p>
    <w:p w:rsidR="00655D7F" w:rsidRDefault="009D2A12" w:rsidP="000B682F">
      <w:pPr>
        <w:autoSpaceDE w:val="0"/>
        <w:autoSpaceDN w:val="0"/>
        <w:adjustRightInd w:val="0"/>
        <w:spacing w:line="360" w:lineRule="auto"/>
        <w:jc w:val="both"/>
        <w:rPr>
          <w:rFonts w:ascii="Arial" w:hAnsi="Arial" w:cs="Arial"/>
          <w:sz w:val="18"/>
          <w:szCs w:val="18"/>
        </w:rPr>
      </w:pPr>
      <w:r>
        <w:rPr>
          <w:rFonts w:ascii="Arial" w:hAnsi="Arial" w:cs="Arial"/>
          <w:sz w:val="18"/>
          <w:szCs w:val="18"/>
        </w:rPr>
        <w:t>Em relação a tabela acima as seguintes considerações são pertinentes:</w:t>
      </w:r>
    </w:p>
    <w:p w:rsidR="009D2A12" w:rsidRDefault="009D2A12" w:rsidP="000B682F">
      <w:pPr>
        <w:autoSpaceDE w:val="0"/>
        <w:autoSpaceDN w:val="0"/>
        <w:adjustRightInd w:val="0"/>
        <w:spacing w:line="360" w:lineRule="auto"/>
        <w:jc w:val="both"/>
        <w:rPr>
          <w:rFonts w:ascii="Arial" w:hAnsi="Arial" w:cs="Arial"/>
          <w:sz w:val="18"/>
          <w:szCs w:val="18"/>
        </w:rPr>
      </w:pPr>
    </w:p>
    <w:p w:rsidR="009D2A12" w:rsidRDefault="009D2A12" w:rsidP="000B682F">
      <w:pPr>
        <w:autoSpaceDE w:val="0"/>
        <w:autoSpaceDN w:val="0"/>
        <w:adjustRightInd w:val="0"/>
        <w:spacing w:line="360" w:lineRule="auto"/>
        <w:jc w:val="both"/>
        <w:rPr>
          <w:rFonts w:ascii="Arial" w:hAnsi="Arial" w:cs="Arial"/>
          <w:sz w:val="18"/>
          <w:szCs w:val="18"/>
        </w:rPr>
      </w:pPr>
      <w:r>
        <w:rPr>
          <w:rFonts w:ascii="Arial" w:hAnsi="Arial" w:cs="Arial"/>
          <w:sz w:val="18"/>
          <w:szCs w:val="18"/>
        </w:rPr>
        <w:lastRenderedPageBreak/>
        <w:t>i) A configuração Sul-80 apresenta uma energia firme histórica da ordem de 84% inferior a energia firme média. Já para SE-90 esse valor chega a 93%.</w:t>
      </w:r>
    </w:p>
    <w:p w:rsidR="009D2A12" w:rsidRDefault="009D2A12" w:rsidP="000B682F">
      <w:pPr>
        <w:autoSpaceDE w:val="0"/>
        <w:autoSpaceDN w:val="0"/>
        <w:adjustRightInd w:val="0"/>
        <w:spacing w:line="360" w:lineRule="auto"/>
        <w:jc w:val="both"/>
        <w:rPr>
          <w:rFonts w:ascii="Arial" w:hAnsi="Arial" w:cs="Arial"/>
          <w:sz w:val="18"/>
          <w:szCs w:val="18"/>
        </w:rPr>
      </w:pPr>
    </w:p>
    <w:p w:rsidR="00EE5137" w:rsidRDefault="009D2A12" w:rsidP="000B682F">
      <w:pPr>
        <w:autoSpaceDE w:val="0"/>
        <w:autoSpaceDN w:val="0"/>
        <w:adjustRightInd w:val="0"/>
        <w:spacing w:line="360" w:lineRule="auto"/>
        <w:jc w:val="both"/>
        <w:rPr>
          <w:rFonts w:ascii="Arial" w:hAnsi="Arial" w:cs="Arial"/>
          <w:sz w:val="18"/>
          <w:szCs w:val="18"/>
        </w:rPr>
      </w:pPr>
      <w:r>
        <w:rPr>
          <w:rFonts w:ascii="Arial" w:hAnsi="Arial" w:cs="Arial"/>
          <w:sz w:val="18"/>
          <w:szCs w:val="18"/>
        </w:rPr>
        <w:t>ii) A entrada dos intercâmbios entre os subsistemas</w:t>
      </w:r>
      <w:r w:rsidR="00EE5137">
        <w:rPr>
          <w:rFonts w:ascii="Arial" w:hAnsi="Arial" w:cs="Arial"/>
          <w:sz w:val="18"/>
          <w:szCs w:val="18"/>
        </w:rPr>
        <w:t xml:space="preserve"> Sul-Sudeste/C.Oeste proporciona uma maior aproximação dos valores da energia firme hidráulica do histórico e da média.</w:t>
      </w:r>
    </w:p>
    <w:p w:rsidR="00EE5137" w:rsidRDefault="00EE5137" w:rsidP="000B682F">
      <w:pPr>
        <w:autoSpaceDE w:val="0"/>
        <w:autoSpaceDN w:val="0"/>
        <w:adjustRightInd w:val="0"/>
        <w:spacing w:line="360" w:lineRule="auto"/>
        <w:jc w:val="both"/>
        <w:rPr>
          <w:rFonts w:ascii="Arial" w:hAnsi="Arial" w:cs="Arial"/>
          <w:sz w:val="18"/>
          <w:szCs w:val="18"/>
        </w:rPr>
      </w:pPr>
    </w:p>
    <w:p w:rsidR="00827B57" w:rsidRDefault="00EE5137" w:rsidP="000B682F">
      <w:pPr>
        <w:autoSpaceDE w:val="0"/>
        <w:autoSpaceDN w:val="0"/>
        <w:adjustRightInd w:val="0"/>
        <w:spacing w:line="360" w:lineRule="auto"/>
        <w:jc w:val="both"/>
        <w:rPr>
          <w:rFonts w:ascii="Arial" w:hAnsi="Arial" w:cs="Arial"/>
          <w:sz w:val="18"/>
          <w:szCs w:val="18"/>
        </w:rPr>
      </w:pPr>
      <w:r>
        <w:rPr>
          <w:rFonts w:ascii="Arial" w:hAnsi="Arial" w:cs="Arial"/>
          <w:sz w:val="18"/>
          <w:szCs w:val="18"/>
        </w:rPr>
        <w:t>iii) A regularização proporcionada pela interligação entre os subsistemas Sul-Sudeste/C.Oeste faz com que</w:t>
      </w:r>
      <w:r w:rsidR="00827B57">
        <w:rPr>
          <w:rFonts w:ascii="Arial" w:hAnsi="Arial" w:cs="Arial"/>
          <w:sz w:val="18"/>
          <w:szCs w:val="18"/>
        </w:rPr>
        <w:t xml:space="preserve"> haja um grande aumento no  desvio padrão ao longo das configurações.</w:t>
      </w:r>
    </w:p>
    <w:p w:rsidR="00827B57" w:rsidRDefault="00827B57" w:rsidP="00BD7160">
      <w:pPr>
        <w:autoSpaceDE w:val="0"/>
        <w:autoSpaceDN w:val="0"/>
        <w:adjustRightInd w:val="0"/>
        <w:jc w:val="both"/>
        <w:rPr>
          <w:rFonts w:ascii="Arial" w:hAnsi="Arial" w:cs="Arial"/>
          <w:sz w:val="18"/>
          <w:szCs w:val="18"/>
        </w:rPr>
      </w:pPr>
    </w:p>
    <w:p w:rsidR="003209D6" w:rsidRPr="003209D6" w:rsidRDefault="003209D6" w:rsidP="003209D6">
      <w:pPr>
        <w:pStyle w:val="Ttulo3"/>
        <w:jc w:val="left"/>
        <w:rPr>
          <w:sz w:val="18"/>
          <w:szCs w:val="18"/>
        </w:rPr>
      </w:pPr>
      <w:r>
        <w:rPr>
          <w:sz w:val="18"/>
          <w:szCs w:val="18"/>
          <w14:shadow w14:blurRad="0" w14:dist="0" w14:dir="0" w14:sx="0" w14:sy="0" w14:kx="0" w14:ky="0" w14:algn="none">
            <w14:srgbClr w14:val="000000"/>
          </w14:shadow>
        </w:rPr>
        <w:t>3.6</w:t>
      </w:r>
      <w:r w:rsidRPr="003209D6">
        <w:rPr>
          <w:sz w:val="18"/>
          <w:szCs w:val="18"/>
          <w14:shadow w14:blurRad="0" w14:dist="0" w14:dir="0" w14:sx="0" w14:sy="0" w14:kx="0" w14:ky="0" w14:algn="none">
            <w14:srgbClr w14:val="000000"/>
          </w14:shadow>
        </w:rPr>
        <w:t xml:space="preserve"> </w:t>
      </w:r>
      <w:r>
        <w:rPr>
          <w:sz w:val="18"/>
          <w:szCs w:val="18"/>
          <w14:shadow w14:blurRad="0" w14:dist="0" w14:dir="0" w14:sx="0" w14:sy="0" w14:kx="0" w14:ky="0" w14:algn="none">
            <w14:srgbClr w14:val="000000"/>
          </w14:shadow>
        </w:rPr>
        <w:t>Análise de Risco de Atendimento</w:t>
      </w:r>
    </w:p>
    <w:p w:rsidR="003209D6" w:rsidRDefault="003209D6" w:rsidP="00BD7160">
      <w:pPr>
        <w:autoSpaceDE w:val="0"/>
        <w:autoSpaceDN w:val="0"/>
        <w:adjustRightInd w:val="0"/>
        <w:jc w:val="both"/>
        <w:rPr>
          <w:rFonts w:ascii="Arial" w:hAnsi="Arial" w:cs="Arial"/>
          <w:sz w:val="18"/>
          <w:szCs w:val="18"/>
        </w:rPr>
      </w:pPr>
    </w:p>
    <w:p w:rsidR="009D2A12" w:rsidRDefault="003209D6" w:rsidP="000B682F">
      <w:pPr>
        <w:autoSpaceDE w:val="0"/>
        <w:autoSpaceDN w:val="0"/>
        <w:adjustRightInd w:val="0"/>
        <w:spacing w:line="360" w:lineRule="auto"/>
        <w:jc w:val="both"/>
        <w:rPr>
          <w:rFonts w:ascii="Arial" w:hAnsi="Arial" w:cs="Arial"/>
          <w:sz w:val="18"/>
          <w:szCs w:val="18"/>
        </w:rPr>
      </w:pPr>
      <w:r>
        <w:rPr>
          <w:rFonts w:ascii="Arial" w:hAnsi="Arial" w:cs="Arial"/>
          <w:sz w:val="18"/>
          <w:szCs w:val="18"/>
        </w:rPr>
        <w:t>Foram realizadas simulações</w:t>
      </w:r>
      <w:r w:rsidR="00D90FFC">
        <w:rPr>
          <w:rFonts w:ascii="Arial" w:hAnsi="Arial" w:cs="Arial"/>
          <w:sz w:val="18"/>
          <w:szCs w:val="18"/>
        </w:rPr>
        <w:t xml:space="preserve"> como MSSE</w:t>
      </w:r>
      <w:r>
        <w:rPr>
          <w:rFonts w:ascii="Arial" w:hAnsi="Arial" w:cs="Arial"/>
          <w:sz w:val="18"/>
          <w:szCs w:val="18"/>
        </w:rPr>
        <w:t>, com séries sintéticas geradas pelo DESAG, tendo como requisito a energia firme do sistema. A</w:t>
      </w:r>
      <w:r w:rsidR="00D90FFC">
        <w:rPr>
          <w:rFonts w:ascii="Arial" w:hAnsi="Arial" w:cs="Arial"/>
          <w:sz w:val="18"/>
          <w:szCs w:val="18"/>
        </w:rPr>
        <w:t>s Tabelas</w:t>
      </w:r>
      <w:r>
        <w:rPr>
          <w:rFonts w:ascii="Arial" w:hAnsi="Arial" w:cs="Arial"/>
          <w:sz w:val="18"/>
          <w:szCs w:val="18"/>
        </w:rPr>
        <w:t xml:space="preserve"> </w:t>
      </w:r>
      <w:r w:rsidR="00D90FFC">
        <w:rPr>
          <w:rFonts w:ascii="Arial" w:hAnsi="Arial" w:cs="Arial"/>
          <w:sz w:val="18"/>
          <w:szCs w:val="18"/>
        </w:rPr>
        <w:t xml:space="preserve">3 e 4 apresentam a análise de déficit e de energia secundária </w:t>
      </w:r>
      <w:r>
        <w:rPr>
          <w:rFonts w:ascii="Arial" w:hAnsi="Arial" w:cs="Arial"/>
          <w:sz w:val="18"/>
          <w:szCs w:val="18"/>
        </w:rPr>
        <w:t xml:space="preserve">tanto para configurações puramente hidráulicas quanto </w:t>
      </w:r>
      <w:r w:rsidR="00D90FFC">
        <w:rPr>
          <w:rFonts w:ascii="Arial" w:hAnsi="Arial" w:cs="Arial"/>
          <w:sz w:val="18"/>
          <w:szCs w:val="18"/>
        </w:rPr>
        <w:t>hidro</w:t>
      </w:r>
      <w:r>
        <w:rPr>
          <w:rFonts w:ascii="Arial" w:hAnsi="Arial" w:cs="Arial"/>
          <w:sz w:val="18"/>
          <w:szCs w:val="18"/>
        </w:rPr>
        <w:t>térmicas</w:t>
      </w:r>
      <w:r w:rsidR="00D90FFC">
        <w:rPr>
          <w:rFonts w:ascii="Arial" w:hAnsi="Arial" w:cs="Arial"/>
          <w:sz w:val="18"/>
          <w:szCs w:val="18"/>
        </w:rPr>
        <w:t>.</w:t>
      </w:r>
    </w:p>
    <w:p w:rsidR="00D90FFC" w:rsidRDefault="00D90FFC" w:rsidP="00BD7160">
      <w:pPr>
        <w:autoSpaceDE w:val="0"/>
        <w:autoSpaceDN w:val="0"/>
        <w:adjustRightInd w:val="0"/>
        <w:jc w:val="both"/>
        <w:rPr>
          <w:rFonts w:ascii="Arial" w:hAnsi="Arial" w:cs="Arial"/>
          <w:sz w:val="18"/>
          <w:szCs w:val="18"/>
        </w:rPr>
      </w:pPr>
    </w:p>
    <w:p w:rsidR="00D90FFC" w:rsidRPr="00634648" w:rsidRDefault="00D90FFC" w:rsidP="000B682F">
      <w:pPr>
        <w:jc w:val="center"/>
        <w:rPr>
          <w:rFonts w:ascii="Arial" w:hAnsi="Arial" w:cs="Arial"/>
          <w:sz w:val="16"/>
          <w:szCs w:val="16"/>
        </w:rPr>
      </w:pPr>
      <w:r w:rsidRPr="00634648">
        <w:rPr>
          <w:rFonts w:ascii="Arial" w:hAnsi="Arial" w:cs="Arial"/>
          <w:sz w:val="16"/>
          <w:szCs w:val="16"/>
        </w:rPr>
        <w:t xml:space="preserve">Tabela </w:t>
      </w:r>
      <w:r>
        <w:rPr>
          <w:rFonts w:ascii="Arial" w:hAnsi="Arial" w:cs="Arial"/>
          <w:sz w:val="16"/>
          <w:szCs w:val="16"/>
        </w:rPr>
        <w:t>3</w:t>
      </w:r>
    </w:p>
    <w:p w:rsidR="00D90FFC" w:rsidRDefault="00D90FFC" w:rsidP="000B682F">
      <w:pPr>
        <w:jc w:val="center"/>
        <w:rPr>
          <w:rFonts w:ascii="Arial" w:hAnsi="Arial" w:cs="Arial"/>
          <w:sz w:val="16"/>
          <w:szCs w:val="16"/>
        </w:rPr>
      </w:pPr>
      <w:r>
        <w:rPr>
          <w:rFonts w:ascii="Arial" w:hAnsi="Arial" w:cs="Arial"/>
          <w:sz w:val="16"/>
          <w:szCs w:val="16"/>
        </w:rPr>
        <w:t>Risco de Atendimento – Energia Firme</w:t>
      </w:r>
    </w:p>
    <w:p w:rsidR="00D90FFC" w:rsidRPr="00634648" w:rsidRDefault="00D90FFC" w:rsidP="000B682F">
      <w:pPr>
        <w:jc w:val="center"/>
        <w:rPr>
          <w:rFonts w:ascii="Arial" w:hAnsi="Arial" w:cs="Arial"/>
          <w:sz w:val="16"/>
          <w:szCs w:val="16"/>
        </w:rPr>
      </w:pPr>
      <w:r>
        <w:rPr>
          <w:rFonts w:ascii="Arial" w:hAnsi="Arial" w:cs="Arial"/>
          <w:sz w:val="16"/>
          <w:szCs w:val="16"/>
        </w:rPr>
        <w:t>Configurações Puramente Hidráulicas</w:t>
      </w:r>
    </w:p>
    <w:tbl>
      <w:tblPr>
        <w:tblStyle w:val="Tabelacomgrade"/>
        <w:tblW w:w="0" w:type="auto"/>
        <w:tblLook w:val="04A0" w:firstRow="1" w:lastRow="0" w:firstColumn="1" w:lastColumn="0" w:noHBand="0" w:noVBand="1"/>
      </w:tblPr>
      <w:tblGrid>
        <w:gridCol w:w="2694"/>
        <w:gridCol w:w="850"/>
        <w:gridCol w:w="709"/>
        <w:gridCol w:w="850"/>
        <w:gridCol w:w="851"/>
        <w:gridCol w:w="850"/>
        <w:gridCol w:w="851"/>
      </w:tblGrid>
      <w:tr w:rsidR="00D90FFC" w:rsidRPr="00634648" w:rsidTr="00FA4441">
        <w:tc>
          <w:tcPr>
            <w:tcW w:w="2694" w:type="dxa"/>
            <w:tcBorders>
              <w:top w:val="nil"/>
              <w:left w:val="nil"/>
              <w:bottom w:val="single" w:sz="4" w:space="0" w:color="auto"/>
              <w:right w:val="single" w:sz="4" w:space="0" w:color="auto"/>
            </w:tcBorders>
          </w:tcPr>
          <w:p w:rsidR="00D90FFC" w:rsidRPr="00634648" w:rsidRDefault="00D90FFC" w:rsidP="000B682F">
            <w:pPr>
              <w:jc w:val="center"/>
              <w:rPr>
                <w:rFonts w:ascii="Arial" w:hAnsi="Arial" w:cs="Arial"/>
                <w:sz w:val="16"/>
                <w:szCs w:val="16"/>
              </w:rPr>
            </w:pPr>
          </w:p>
        </w:tc>
        <w:tc>
          <w:tcPr>
            <w:tcW w:w="850" w:type="dxa"/>
            <w:tcBorders>
              <w:left w:val="single" w:sz="4" w:space="0" w:color="auto"/>
            </w:tcBorders>
          </w:tcPr>
          <w:p w:rsidR="00D90FFC" w:rsidRPr="00634648" w:rsidRDefault="00D90FFC" w:rsidP="000B682F">
            <w:pPr>
              <w:jc w:val="center"/>
              <w:rPr>
                <w:rFonts w:ascii="Arial" w:hAnsi="Arial" w:cs="Arial"/>
                <w:sz w:val="16"/>
                <w:szCs w:val="16"/>
              </w:rPr>
            </w:pPr>
            <w:r w:rsidRPr="00634648">
              <w:rPr>
                <w:rFonts w:ascii="Arial" w:hAnsi="Arial" w:cs="Arial"/>
                <w:sz w:val="16"/>
                <w:szCs w:val="16"/>
              </w:rPr>
              <w:t>Sul-80</w:t>
            </w:r>
          </w:p>
        </w:tc>
        <w:tc>
          <w:tcPr>
            <w:tcW w:w="709" w:type="dxa"/>
          </w:tcPr>
          <w:p w:rsidR="00D90FFC" w:rsidRPr="00634648" w:rsidRDefault="00D90FFC" w:rsidP="000B682F">
            <w:pPr>
              <w:jc w:val="center"/>
              <w:rPr>
                <w:rFonts w:ascii="Arial" w:hAnsi="Arial" w:cs="Arial"/>
                <w:sz w:val="16"/>
                <w:szCs w:val="16"/>
              </w:rPr>
            </w:pPr>
            <w:r w:rsidRPr="00634648">
              <w:rPr>
                <w:rFonts w:ascii="Arial" w:hAnsi="Arial" w:cs="Arial"/>
                <w:sz w:val="16"/>
                <w:szCs w:val="16"/>
              </w:rPr>
              <w:t>SE-80</w:t>
            </w:r>
          </w:p>
        </w:tc>
        <w:tc>
          <w:tcPr>
            <w:tcW w:w="850" w:type="dxa"/>
          </w:tcPr>
          <w:p w:rsidR="00D90FFC" w:rsidRPr="00634648" w:rsidRDefault="00D90FFC" w:rsidP="000B682F">
            <w:pPr>
              <w:jc w:val="center"/>
              <w:rPr>
                <w:rFonts w:ascii="Arial" w:hAnsi="Arial" w:cs="Arial"/>
                <w:sz w:val="16"/>
                <w:szCs w:val="16"/>
              </w:rPr>
            </w:pPr>
            <w:r w:rsidRPr="00634648">
              <w:rPr>
                <w:rFonts w:ascii="Arial" w:hAnsi="Arial" w:cs="Arial"/>
                <w:sz w:val="16"/>
                <w:szCs w:val="16"/>
              </w:rPr>
              <w:t>SES-82</w:t>
            </w:r>
          </w:p>
        </w:tc>
        <w:tc>
          <w:tcPr>
            <w:tcW w:w="851" w:type="dxa"/>
          </w:tcPr>
          <w:p w:rsidR="00D90FFC" w:rsidRPr="00634648" w:rsidRDefault="00D90FFC" w:rsidP="000B682F">
            <w:pPr>
              <w:jc w:val="center"/>
              <w:rPr>
                <w:rFonts w:ascii="Arial" w:hAnsi="Arial" w:cs="Arial"/>
                <w:sz w:val="16"/>
                <w:szCs w:val="16"/>
              </w:rPr>
            </w:pPr>
            <w:r w:rsidRPr="00634648">
              <w:rPr>
                <w:rFonts w:ascii="Arial" w:hAnsi="Arial" w:cs="Arial"/>
                <w:sz w:val="16"/>
                <w:szCs w:val="16"/>
              </w:rPr>
              <w:t>SES-86</w:t>
            </w:r>
          </w:p>
        </w:tc>
        <w:tc>
          <w:tcPr>
            <w:tcW w:w="850" w:type="dxa"/>
          </w:tcPr>
          <w:p w:rsidR="00D90FFC" w:rsidRPr="00634648" w:rsidRDefault="00D90FFC" w:rsidP="000B682F">
            <w:pPr>
              <w:jc w:val="center"/>
              <w:rPr>
                <w:rFonts w:ascii="Arial" w:hAnsi="Arial" w:cs="Arial"/>
                <w:sz w:val="16"/>
                <w:szCs w:val="16"/>
              </w:rPr>
            </w:pPr>
            <w:r w:rsidRPr="00634648">
              <w:rPr>
                <w:rFonts w:ascii="Arial" w:hAnsi="Arial" w:cs="Arial"/>
                <w:sz w:val="16"/>
                <w:szCs w:val="16"/>
              </w:rPr>
              <w:t>SES-90</w:t>
            </w:r>
          </w:p>
        </w:tc>
        <w:tc>
          <w:tcPr>
            <w:tcW w:w="851" w:type="dxa"/>
          </w:tcPr>
          <w:p w:rsidR="00D90FFC" w:rsidRPr="00634648" w:rsidRDefault="00D90FFC" w:rsidP="000B682F">
            <w:pPr>
              <w:jc w:val="center"/>
              <w:rPr>
                <w:rFonts w:ascii="Arial" w:hAnsi="Arial" w:cs="Arial"/>
                <w:sz w:val="16"/>
                <w:szCs w:val="16"/>
              </w:rPr>
            </w:pPr>
            <w:r w:rsidRPr="00634648">
              <w:rPr>
                <w:rFonts w:ascii="Arial" w:hAnsi="Arial" w:cs="Arial"/>
                <w:sz w:val="16"/>
                <w:szCs w:val="16"/>
              </w:rPr>
              <w:t>SES-95</w:t>
            </w:r>
          </w:p>
        </w:tc>
      </w:tr>
      <w:tr w:rsidR="00D90FFC" w:rsidRPr="00634648" w:rsidTr="00FA4441">
        <w:tc>
          <w:tcPr>
            <w:tcW w:w="2694" w:type="dxa"/>
            <w:tcBorders>
              <w:top w:val="single" w:sz="4" w:space="0" w:color="auto"/>
            </w:tcBorders>
          </w:tcPr>
          <w:p w:rsidR="00D90FFC" w:rsidRPr="00634648" w:rsidRDefault="00D90FFC" w:rsidP="000B682F">
            <w:pPr>
              <w:jc w:val="center"/>
              <w:rPr>
                <w:rFonts w:ascii="Arial" w:hAnsi="Arial" w:cs="Arial"/>
                <w:sz w:val="16"/>
                <w:szCs w:val="16"/>
              </w:rPr>
            </w:pPr>
            <w:r>
              <w:rPr>
                <w:rFonts w:ascii="Arial" w:hAnsi="Arial" w:cs="Arial"/>
                <w:sz w:val="16"/>
                <w:szCs w:val="16"/>
              </w:rPr>
              <w:t>Probabilidade Anual de Déficit (%)</w:t>
            </w:r>
          </w:p>
        </w:tc>
        <w:tc>
          <w:tcPr>
            <w:tcW w:w="850" w:type="dxa"/>
          </w:tcPr>
          <w:p w:rsidR="00D90FFC" w:rsidRPr="00634648" w:rsidRDefault="00D90FFC" w:rsidP="000B682F">
            <w:pPr>
              <w:jc w:val="center"/>
              <w:rPr>
                <w:rFonts w:ascii="Arial" w:hAnsi="Arial" w:cs="Arial"/>
                <w:sz w:val="16"/>
                <w:szCs w:val="16"/>
              </w:rPr>
            </w:pPr>
            <w:r>
              <w:rPr>
                <w:rFonts w:ascii="Arial" w:hAnsi="Arial" w:cs="Arial"/>
                <w:sz w:val="16"/>
                <w:szCs w:val="16"/>
              </w:rPr>
              <w:t>0,1</w:t>
            </w:r>
          </w:p>
        </w:tc>
        <w:tc>
          <w:tcPr>
            <w:tcW w:w="709" w:type="dxa"/>
          </w:tcPr>
          <w:p w:rsidR="00D90FFC" w:rsidRPr="00634648" w:rsidRDefault="00D90FFC" w:rsidP="000B682F">
            <w:pPr>
              <w:jc w:val="center"/>
              <w:rPr>
                <w:rFonts w:ascii="Arial" w:hAnsi="Arial" w:cs="Arial"/>
                <w:sz w:val="16"/>
                <w:szCs w:val="16"/>
              </w:rPr>
            </w:pPr>
            <w:r>
              <w:rPr>
                <w:rFonts w:ascii="Arial" w:hAnsi="Arial" w:cs="Arial"/>
                <w:sz w:val="16"/>
                <w:szCs w:val="16"/>
              </w:rPr>
              <w:t>0,6</w:t>
            </w:r>
          </w:p>
        </w:tc>
        <w:tc>
          <w:tcPr>
            <w:tcW w:w="850" w:type="dxa"/>
          </w:tcPr>
          <w:p w:rsidR="00D90FFC" w:rsidRPr="00634648" w:rsidRDefault="00D90FFC" w:rsidP="000B682F">
            <w:pPr>
              <w:jc w:val="center"/>
              <w:rPr>
                <w:rFonts w:ascii="Arial" w:hAnsi="Arial" w:cs="Arial"/>
                <w:sz w:val="16"/>
                <w:szCs w:val="16"/>
              </w:rPr>
            </w:pPr>
            <w:r>
              <w:rPr>
                <w:rFonts w:ascii="Arial" w:hAnsi="Arial" w:cs="Arial"/>
                <w:sz w:val="16"/>
                <w:szCs w:val="16"/>
              </w:rPr>
              <w:t>3,1</w:t>
            </w:r>
          </w:p>
        </w:tc>
        <w:tc>
          <w:tcPr>
            <w:tcW w:w="851" w:type="dxa"/>
          </w:tcPr>
          <w:p w:rsidR="00D90FFC" w:rsidRPr="00634648" w:rsidRDefault="00D90FFC" w:rsidP="000B682F">
            <w:pPr>
              <w:jc w:val="center"/>
              <w:rPr>
                <w:rFonts w:ascii="Arial" w:hAnsi="Arial" w:cs="Arial"/>
                <w:sz w:val="16"/>
                <w:szCs w:val="16"/>
              </w:rPr>
            </w:pPr>
            <w:r>
              <w:rPr>
                <w:rFonts w:ascii="Arial" w:hAnsi="Arial" w:cs="Arial"/>
                <w:sz w:val="16"/>
                <w:szCs w:val="16"/>
              </w:rPr>
              <w:t>3,6</w:t>
            </w:r>
          </w:p>
        </w:tc>
        <w:tc>
          <w:tcPr>
            <w:tcW w:w="850" w:type="dxa"/>
          </w:tcPr>
          <w:p w:rsidR="00D90FFC" w:rsidRPr="00634648" w:rsidRDefault="00D90FFC" w:rsidP="000B682F">
            <w:pPr>
              <w:jc w:val="center"/>
              <w:rPr>
                <w:rFonts w:ascii="Arial" w:hAnsi="Arial" w:cs="Arial"/>
                <w:sz w:val="16"/>
                <w:szCs w:val="16"/>
              </w:rPr>
            </w:pPr>
            <w:r>
              <w:rPr>
                <w:rFonts w:ascii="Arial" w:hAnsi="Arial" w:cs="Arial"/>
                <w:sz w:val="16"/>
                <w:szCs w:val="16"/>
              </w:rPr>
              <w:t>3,5</w:t>
            </w:r>
          </w:p>
        </w:tc>
        <w:tc>
          <w:tcPr>
            <w:tcW w:w="851" w:type="dxa"/>
          </w:tcPr>
          <w:p w:rsidR="00D90FFC" w:rsidRPr="00634648" w:rsidRDefault="00D90FFC" w:rsidP="000B682F">
            <w:pPr>
              <w:jc w:val="center"/>
              <w:rPr>
                <w:rFonts w:ascii="Arial" w:hAnsi="Arial" w:cs="Arial"/>
                <w:sz w:val="16"/>
                <w:szCs w:val="16"/>
              </w:rPr>
            </w:pPr>
            <w:r>
              <w:rPr>
                <w:rFonts w:ascii="Arial" w:hAnsi="Arial" w:cs="Arial"/>
                <w:sz w:val="16"/>
                <w:szCs w:val="16"/>
              </w:rPr>
              <w:t>4,1</w:t>
            </w:r>
          </w:p>
        </w:tc>
      </w:tr>
      <w:tr w:rsidR="00D90FFC" w:rsidRPr="00634648" w:rsidTr="00FA4441">
        <w:tc>
          <w:tcPr>
            <w:tcW w:w="2694" w:type="dxa"/>
          </w:tcPr>
          <w:p w:rsidR="00D90FFC" w:rsidRPr="00634648" w:rsidRDefault="00D90FFC" w:rsidP="000B682F">
            <w:pPr>
              <w:jc w:val="center"/>
              <w:rPr>
                <w:rFonts w:ascii="Arial" w:hAnsi="Arial" w:cs="Arial"/>
                <w:sz w:val="16"/>
                <w:szCs w:val="16"/>
              </w:rPr>
            </w:pPr>
            <w:r>
              <w:rPr>
                <w:rFonts w:ascii="Arial" w:hAnsi="Arial" w:cs="Arial"/>
                <w:sz w:val="16"/>
                <w:szCs w:val="16"/>
              </w:rPr>
              <w:t>Déficit esperado (MWa)</w:t>
            </w:r>
          </w:p>
        </w:tc>
        <w:tc>
          <w:tcPr>
            <w:tcW w:w="850" w:type="dxa"/>
          </w:tcPr>
          <w:p w:rsidR="00D90FFC" w:rsidRPr="00634648" w:rsidRDefault="00D90FFC" w:rsidP="000B682F">
            <w:pPr>
              <w:jc w:val="center"/>
              <w:rPr>
                <w:rFonts w:ascii="Arial" w:hAnsi="Arial" w:cs="Arial"/>
                <w:sz w:val="16"/>
                <w:szCs w:val="16"/>
              </w:rPr>
            </w:pPr>
            <w:r>
              <w:rPr>
                <w:rFonts w:ascii="Arial" w:hAnsi="Arial" w:cs="Arial"/>
                <w:sz w:val="16"/>
                <w:szCs w:val="16"/>
              </w:rPr>
              <w:t>0</w:t>
            </w:r>
          </w:p>
        </w:tc>
        <w:tc>
          <w:tcPr>
            <w:tcW w:w="709" w:type="dxa"/>
          </w:tcPr>
          <w:p w:rsidR="00D90FFC" w:rsidRPr="00634648" w:rsidRDefault="00D90FFC" w:rsidP="000B682F">
            <w:pPr>
              <w:jc w:val="center"/>
              <w:rPr>
                <w:rFonts w:ascii="Arial" w:hAnsi="Arial" w:cs="Arial"/>
                <w:sz w:val="16"/>
                <w:szCs w:val="16"/>
              </w:rPr>
            </w:pPr>
            <w:r>
              <w:rPr>
                <w:rFonts w:ascii="Arial" w:hAnsi="Arial" w:cs="Arial"/>
                <w:sz w:val="16"/>
                <w:szCs w:val="16"/>
              </w:rPr>
              <w:t>4</w:t>
            </w:r>
          </w:p>
        </w:tc>
        <w:tc>
          <w:tcPr>
            <w:tcW w:w="850" w:type="dxa"/>
          </w:tcPr>
          <w:p w:rsidR="00D90FFC" w:rsidRPr="00634648" w:rsidRDefault="00D90FFC" w:rsidP="000B682F">
            <w:pPr>
              <w:jc w:val="center"/>
              <w:rPr>
                <w:rFonts w:ascii="Arial" w:hAnsi="Arial" w:cs="Arial"/>
                <w:sz w:val="16"/>
                <w:szCs w:val="16"/>
              </w:rPr>
            </w:pPr>
            <w:r>
              <w:rPr>
                <w:rFonts w:ascii="Arial" w:hAnsi="Arial" w:cs="Arial"/>
                <w:sz w:val="16"/>
                <w:szCs w:val="16"/>
              </w:rPr>
              <w:t>42</w:t>
            </w:r>
          </w:p>
        </w:tc>
        <w:tc>
          <w:tcPr>
            <w:tcW w:w="851" w:type="dxa"/>
          </w:tcPr>
          <w:p w:rsidR="00D90FFC" w:rsidRPr="00634648" w:rsidRDefault="00D90FFC" w:rsidP="000B682F">
            <w:pPr>
              <w:jc w:val="center"/>
              <w:rPr>
                <w:rFonts w:ascii="Arial" w:hAnsi="Arial" w:cs="Arial"/>
                <w:sz w:val="16"/>
                <w:szCs w:val="16"/>
              </w:rPr>
            </w:pPr>
            <w:r>
              <w:rPr>
                <w:rFonts w:ascii="Arial" w:hAnsi="Arial" w:cs="Arial"/>
                <w:sz w:val="16"/>
                <w:szCs w:val="16"/>
              </w:rPr>
              <w:t>86</w:t>
            </w:r>
          </w:p>
        </w:tc>
        <w:tc>
          <w:tcPr>
            <w:tcW w:w="850" w:type="dxa"/>
          </w:tcPr>
          <w:p w:rsidR="00D90FFC" w:rsidRPr="00634648" w:rsidRDefault="00D90FFC" w:rsidP="000B682F">
            <w:pPr>
              <w:jc w:val="center"/>
              <w:rPr>
                <w:rFonts w:ascii="Arial" w:hAnsi="Arial" w:cs="Arial"/>
                <w:sz w:val="16"/>
                <w:szCs w:val="16"/>
              </w:rPr>
            </w:pPr>
            <w:r>
              <w:rPr>
                <w:rFonts w:ascii="Arial" w:hAnsi="Arial" w:cs="Arial"/>
                <w:sz w:val="16"/>
                <w:szCs w:val="16"/>
              </w:rPr>
              <w:t>103</w:t>
            </w:r>
          </w:p>
        </w:tc>
        <w:tc>
          <w:tcPr>
            <w:tcW w:w="851" w:type="dxa"/>
          </w:tcPr>
          <w:p w:rsidR="00D90FFC" w:rsidRPr="00634648" w:rsidRDefault="00D90FFC" w:rsidP="000B682F">
            <w:pPr>
              <w:jc w:val="center"/>
              <w:rPr>
                <w:rFonts w:ascii="Arial" w:hAnsi="Arial" w:cs="Arial"/>
                <w:sz w:val="16"/>
                <w:szCs w:val="16"/>
              </w:rPr>
            </w:pPr>
            <w:r>
              <w:rPr>
                <w:rFonts w:ascii="Arial" w:hAnsi="Arial" w:cs="Arial"/>
                <w:sz w:val="16"/>
                <w:szCs w:val="16"/>
              </w:rPr>
              <w:t>154</w:t>
            </w:r>
          </w:p>
        </w:tc>
      </w:tr>
      <w:tr w:rsidR="00D90FFC" w:rsidRPr="00634648" w:rsidTr="00FA4441">
        <w:tc>
          <w:tcPr>
            <w:tcW w:w="2694" w:type="dxa"/>
          </w:tcPr>
          <w:p w:rsidR="00D90FFC" w:rsidRPr="00634648" w:rsidRDefault="00D90FFC" w:rsidP="000B682F">
            <w:pPr>
              <w:jc w:val="center"/>
              <w:rPr>
                <w:rFonts w:ascii="Arial" w:hAnsi="Arial" w:cs="Arial"/>
                <w:sz w:val="16"/>
                <w:szCs w:val="16"/>
              </w:rPr>
            </w:pPr>
            <w:r>
              <w:rPr>
                <w:rFonts w:ascii="Arial" w:hAnsi="Arial" w:cs="Arial"/>
                <w:sz w:val="16"/>
                <w:szCs w:val="16"/>
              </w:rPr>
              <w:t>Probabilidade Anual de Vertimento (%)</w:t>
            </w:r>
          </w:p>
        </w:tc>
        <w:tc>
          <w:tcPr>
            <w:tcW w:w="850" w:type="dxa"/>
          </w:tcPr>
          <w:p w:rsidR="00D90FFC" w:rsidRPr="00132E6E" w:rsidRDefault="00D90FFC" w:rsidP="000B682F">
            <w:pPr>
              <w:jc w:val="center"/>
              <w:rPr>
                <w:rFonts w:ascii="Arial" w:hAnsi="Arial" w:cs="Arial"/>
                <w:sz w:val="16"/>
                <w:szCs w:val="16"/>
              </w:rPr>
            </w:pPr>
            <w:r>
              <w:rPr>
                <w:rFonts w:ascii="Arial" w:hAnsi="Arial" w:cs="Arial"/>
                <w:sz w:val="16"/>
                <w:szCs w:val="16"/>
              </w:rPr>
              <w:t>98%</w:t>
            </w:r>
          </w:p>
        </w:tc>
        <w:tc>
          <w:tcPr>
            <w:tcW w:w="709" w:type="dxa"/>
          </w:tcPr>
          <w:p w:rsidR="00D90FFC" w:rsidRPr="00132E6E" w:rsidRDefault="00D90FFC" w:rsidP="000B682F">
            <w:pPr>
              <w:jc w:val="center"/>
              <w:rPr>
                <w:rFonts w:ascii="Arial" w:hAnsi="Arial" w:cs="Arial"/>
                <w:sz w:val="16"/>
                <w:szCs w:val="16"/>
              </w:rPr>
            </w:pPr>
            <w:r>
              <w:rPr>
                <w:rFonts w:ascii="Arial" w:hAnsi="Arial" w:cs="Arial"/>
                <w:sz w:val="16"/>
                <w:szCs w:val="16"/>
              </w:rPr>
              <w:t>90%</w:t>
            </w:r>
          </w:p>
        </w:tc>
        <w:tc>
          <w:tcPr>
            <w:tcW w:w="850" w:type="dxa"/>
          </w:tcPr>
          <w:p w:rsidR="00D90FFC" w:rsidRPr="00132E6E" w:rsidRDefault="00D90FFC" w:rsidP="000B682F">
            <w:pPr>
              <w:jc w:val="center"/>
              <w:rPr>
                <w:rFonts w:ascii="Arial" w:hAnsi="Arial" w:cs="Arial"/>
                <w:sz w:val="16"/>
                <w:szCs w:val="16"/>
              </w:rPr>
            </w:pPr>
            <w:r>
              <w:rPr>
                <w:rFonts w:ascii="Arial" w:hAnsi="Arial" w:cs="Arial"/>
                <w:sz w:val="16"/>
                <w:szCs w:val="16"/>
              </w:rPr>
              <w:t>76%</w:t>
            </w:r>
          </w:p>
        </w:tc>
        <w:tc>
          <w:tcPr>
            <w:tcW w:w="851" w:type="dxa"/>
          </w:tcPr>
          <w:p w:rsidR="00D90FFC" w:rsidRPr="00634648" w:rsidRDefault="00D90FFC" w:rsidP="000B682F">
            <w:pPr>
              <w:jc w:val="center"/>
              <w:rPr>
                <w:rFonts w:ascii="Arial" w:hAnsi="Arial" w:cs="Arial"/>
                <w:sz w:val="16"/>
                <w:szCs w:val="16"/>
              </w:rPr>
            </w:pPr>
            <w:r>
              <w:rPr>
                <w:rFonts w:ascii="Arial" w:hAnsi="Arial" w:cs="Arial"/>
                <w:sz w:val="16"/>
                <w:szCs w:val="16"/>
              </w:rPr>
              <w:t>72%</w:t>
            </w:r>
          </w:p>
        </w:tc>
        <w:tc>
          <w:tcPr>
            <w:tcW w:w="850" w:type="dxa"/>
          </w:tcPr>
          <w:p w:rsidR="00D90FFC" w:rsidRPr="00634648" w:rsidRDefault="00D90FFC" w:rsidP="000B682F">
            <w:pPr>
              <w:jc w:val="center"/>
              <w:rPr>
                <w:rFonts w:ascii="Arial" w:hAnsi="Arial" w:cs="Arial"/>
                <w:sz w:val="16"/>
                <w:szCs w:val="16"/>
              </w:rPr>
            </w:pPr>
            <w:r>
              <w:rPr>
                <w:rFonts w:ascii="Arial" w:hAnsi="Arial" w:cs="Arial"/>
                <w:sz w:val="16"/>
                <w:szCs w:val="16"/>
              </w:rPr>
              <w:t>70%</w:t>
            </w:r>
          </w:p>
        </w:tc>
        <w:tc>
          <w:tcPr>
            <w:tcW w:w="851" w:type="dxa"/>
          </w:tcPr>
          <w:p w:rsidR="00D90FFC" w:rsidRPr="00634648" w:rsidRDefault="00D90FFC" w:rsidP="000B682F">
            <w:pPr>
              <w:jc w:val="center"/>
              <w:rPr>
                <w:rFonts w:ascii="Arial" w:hAnsi="Arial" w:cs="Arial"/>
                <w:sz w:val="16"/>
                <w:szCs w:val="16"/>
              </w:rPr>
            </w:pPr>
            <w:r>
              <w:rPr>
                <w:rFonts w:ascii="Arial" w:hAnsi="Arial" w:cs="Arial"/>
                <w:sz w:val="16"/>
                <w:szCs w:val="16"/>
              </w:rPr>
              <w:t>66%</w:t>
            </w:r>
          </w:p>
        </w:tc>
      </w:tr>
      <w:tr w:rsidR="00D90FFC" w:rsidRPr="00634648" w:rsidTr="00FA4441">
        <w:tc>
          <w:tcPr>
            <w:tcW w:w="2694" w:type="dxa"/>
          </w:tcPr>
          <w:p w:rsidR="00D90FFC" w:rsidRPr="00634648" w:rsidRDefault="00D90FFC" w:rsidP="000B682F">
            <w:pPr>
              <w:jc w:val="center"/>
              <w:rPr>
                <w:rFonts w:ascii="Arial" w:hAnsi="Arial" w:cs="Arial"/>
                <w:sz w:val="16"/>
                <w:szCs w:val="16"/>
              </w:rPr>
            </w:pPr>
            <w:r>
              <w:rPr>
                <w:rFonts w:ascii="Arial" w:hAnsi="Arial" w:cs="Arial"/>
                <w:sz w:val="16"/>
                <w:szCs w:val="16"/>
              </w:rPr>
              <w:t>Vertimento Esperado (MWa)</w:t>
            </w:r>
          </w:p>
        </w:tc>
        <w:tc>
          <w:tcPr>
            <w:tcW w:w="850" w:type="dxa"/>
          </w:tcPr>
          <w:p w:rsidR="00D90FFC" w:rsidRPr="00132E6E" w:rsidRDefault="00D90FFC" w:rsidP="000B682F">
            <w:pPr>
              <w:jc w:val="center"/>
              <w:rPr>
                <w:rFonts w:ascii="Arial" w:hAnsi="Arial" w:cs="Arial"/>
                <w:sz w:val="16"/>
                <w:szCs w:val="16"/>
              </w:rPr>
            </w:pPr>
            <w:r>
              <w:rPr>
                <w:rFonts w:ascii="Arial" w:hAnsi="Arial" w:cs="Arial"/>
                <w:sz w:val="16"/>
                <w:szCs w:val="16"/>
              </w:rPr>
              <w:t>458</w:t>
            </w:r>
          </w:p>
        </w:tc>
        <w:tc>
          <w:tcPr>
            <w:tcW w:w="709" w:type="dxa"/>
          </w:tcPr>
          <w:p w:rsidR="00D90FFC" w:rsidRPr="00132E6E" w:rsidRDefault="00D90FFC" w:rsidP="000B682F">
            <w:pPr>
              <w:jc w:val="center"/>
              <w:rPr>
                <w:rFonts w:ascii="Arial" w:hAnsi="Arial" w:cs="Arial"/>
                <w:sz w:val="16"/>
                <w:szCs w:val="16"/>
              </w:rPr>
            </w:pPr>
            <w:r>
              <w:rPr>
                <w:rFonts w:ascii="Arial" w:hAnsi="Arial" w:cs="Arial"/>
                <w:sz w:val="16"/>
                <w:szCs w:val="16"/>
              </w:rPr>
              <w:t>1.982</w:t>
            </w:r>
          </w:p>
        </w:tc>
        <w:tc>
          <w:tcPr>
            <w:tcW w:w="850" w:type="dxa"/>
          </w:tcPr>
          <w:p w:rsidR="00D90FFC" w:rsidRPr="00132E6E" w:rsidRDefault="00D90FFC" w:rsidP="000B682F">
            <w:pPr>
              <w:jc w:val="center"/>
              <w:rPr>
                <w:rFonts w:ascii="Arial" w:hAnsi="Arial" w:cs="Arial"/>
                <w:sz w:val="16"/>
                <w:szCs w:val="16"/>
              </w:rPr>
            </w:pPr>
            <w:r>
              <w:rPr>
                <w:rFonts w:ascii="Arial" w:hAnsi="Arial" w:cs="Arial"/>
                <w:sz w:val="16"/>
                <w:szCs w:val="16"/>
              </w:rPr>
              <w:t>2.205</w:t>
            </w:r>
          </w:p>
        </w:tc>
        <w:tc>
          <w:tcPr>
            <w:tcW w:w="851" w:type="dxa"/>
          </w:tcPr>
          <w:p w:rsidR="00D90FFC" w:rsidRPr="00132E6E" w:rsidRDefault="00D90FFC" w:rsidP="000B682F">
            <w:pPr>
              <w:jc w:val="center"/>
              <w:rPr>
                <w:rFonts w:ascii="Arial" w:hAnsi="Arial" w:cs="Arial"/>
                <w:sz w:val="16"/>
                <w:szCs w:val="16"/>
              </w:rPr>
            </w:pPr>
            <w:r>
              <w:rPr>
                <w:rFonts w:ascii="Arial" w:hAnsi="Arial" w:cs="Arial"/>
                <w:sz w:val="16"/>
                <w:szCs w:val="16"/>
              </w:rPr>
              <w:t>3.342</w:t>
            </w:r>
          </w:p>
        </w:tc>
        <w:tc>
          <w:tcPr>
            <w:tcW w:w="850" w:type="dxa"/>
          </w:tcPr>
          <w:p w:rsidR="00D90FFC" w:rsidRPr="00132E6E" w:rsidRDefault="00D90FFC" w:rsidP="000B682F">
            <w:pPr>
              <w:jc w:val="center"/>
              <w:rPr>
                <w:rFonts w:ascii="Arial" w:hAnsi="Arial" w:cs="Arial"/>
                <w:sz w:val="16"/>
                <w:szCs w:val="16"/>
              </w:rPr>
            </w:pPr>
            <w:r>
              <w:rPr>
                <w:rFonts w:ascii="Arial" w:hAnsi="Arial" w:cs="Arial"/>
                <w:sz w:val="16"/>
                <w:szCs w:val="16"/>
              </w:rPr>
              <w:t>3932</w:t>
            </w:r>
          </w:p>
        </w:tc>
        <w:tc>
          <w:tcPr>
            <w:tcW w:w="851" w:type="dxa"/>
          </w:tcPr>
          <w:p w:rsidR="00D90FFC" w:rsidRPr="00132E6E" w:rsidRDefault="00D90FFC" w:rsidP="000B682F">
            <w:pPr>
              <w:jc w:val="center"/>
              <w:rPr>
                <w:rFonts w:ascii="Arial" w:hAnsi="Arial" w:cs="Arial"/>
                <w:sz w:val="16"/>
                <w:szCs w:val="16"/>
              </w:rPr>
            </w:pPr>
            <w:r>
              <w:rPr>
                <w:rFonts w:ascii="Arial" w:hAnsi="Arial" w:cs="Arial"/>
                <w:sz w:val="16"/>
                <w:szCs w:val="16"/>
              </w:rPr>
              <w:t>4.306</w:t>
            </w:r>
          </w:p>
        </w:tc>
      </w:tr>
      <w:tr w:rsidR="00D90FFC" w:rsidTr="00FA4441">
        <w:tc>
          <w:tcPr>
            <w:tcW w:w="2694" w:type="dxa"/>
          </w:tcPr>
          <w:p w:rsidR="00D90FFC" w:rsidRPr="00634648" w:rsidRDefault="00D90FFC" w:rsidP="000B682F">
            <w:pPr>
              <w:jc w:val="center"/>
              <w:rPr>
                <w:rFonts w:ascii="Arial" w:hAnsi="Arial" w:cs="Arial"/>
                <w:sz w:val="16"/>
                <w:szCs w:val="16"/>
              </w:rPr>
            </w:pPr>
            <w:r>
              <w:rPr>
                <w:rFonts w:ascii="Arial" w:hAnsi="Arial" w:cs="Arial"/>
                <w:sz w:val="16"/>
                <w:szCs w:val="16"/>
              </w:rPr>
              <w:t>Vertimento Esperado (%)</w:t>
            </w:r>
          </w:p>
        </w:tc>
        <w:tc>
          <w:tcPr>
            <w:tcW w:w="850" w:type="dxa"/>
          </w:tcPr>
          <w:p w:rsidR="00D90FFC" w:rsidRPr="00132E6E" w:rsidRDefault="00D90FFC" w:rsidP="000B682F">
            <w:pPr>
              <w:jc w:val="center"/>
              <w:rPr>
                <w:rFonts w:ascii="Arial" w:hAnsi="Arial" w:cs="Arial"/>
                <w:sz w:val="16"/>
                <w:szCs w:val="16"/>
              </w:rPr>
            </w:pPr>
            <w:r>
              <w:rPr>
                <w:rFonts w:ascii="Arial" w:hAnsi="Arial" w:cs="Arial"/>
                <w:sz w:val="16"/>
                <w:szCs w:val="16"/>
              </w:rPr>
              <w:t>77</w:t>
            </w:r>
          </w:p>
        </w:tc>
        <w:tc>
          <w:tcPr>
            <w:tcW w:w="709" w:type="dxa"/>
          </w:tcPr>
          <w:p w:rsidR="00D90FFC" w:rsidRPr="00132E6E" w:rsidRDefault="00D90FFC" w:rsidP="000B682F">
            <w:pPr>
              <w:jc w:val="center"/>
              <w:rPr>
                <w:rFonts w:ascii="Arial" w:hAnsi="Arial" w:cs="Arial"/>
                <w:sz w:val="16"/>
                <w:szCs w:val="16"/>
              </w:rPr>
            </w:pPr>
            <w:r>
              <w:rPr>
                <w:rFonts w:ascii="Arial" w:hAnsi="Arial" w:cs="Arial"/>
                <w:sz w:val="16"/>
                <w:szCs w:val="16"/>
              </w:rPr>
              <w:t>23</w:t>
            </w:r>
          </w:p>
        </w:tc>
        <w:tc>
          <w:tcPr>
            <w:tcW w:w="850" w:type="dxa"/>
          </w:tcPr>
          <w:p w:rsidR="00D90FFC" w:rsidRPr="00132E6E" w:rsidRDefault="00D90FFC" w:rsidP="000B682F">
            <w:pPr>
              <w:jc w:val="center"/>
              <w:rPr>
                <w:rFonts w:ascii="Arial" w:hAnsi="Arial" w:cs="Arial"/>
                <w:sz w:val="16"/>
                <w:szCs w:val="16"/>
              </w:rPr>
            </w:pPr>
            <w:r>
              <w:rPr>
                <w:rFonts w:ascii="Arial" w:hAnsi="Arial" w:cs="Arial"/>
                <w:sz w:val="16"/>
                <w:szCs w:val="16"/>
              </w:rPr>
              <w:t>17</w:t>
            </w:r>
          </w:p>
        </w:tc>
        <w:tc>
          <w:tcPr>
            <w:tcW w:w="851" w:type="dxa"/>
          </w:tcPr>
          <w:p w:rsidR="00D90FFC" w:rsidRPr="00132E6E" w:rsidRDefault="00D90FFC" w:rsidP="000B682F">
            <w:pPr>
              <w:jc w:val="center"/>
              <w:rPr>
                <w:rFonts w:ascii="Arial" w:hAnsi="Arial" w:cs="Arial"/>
                <w:sz w:val="16"/>
                <w:szCs w:val="16"/>
              </w:rPr>
            </w:pPr>
            <w:r>
              <w:rPr>
                <w:rFonts w:ascii="Arial" w:hAnsi="Arial" w:cs="Arial"/>
                <w:sz w:val="16"/>
                <w:szCs w:val="16"/>
              </w:rPr>
              <w:t>15</w:t>
            </w:r>
          </w:p>
        </w:tc>
        <w:tc>
          <w:tcPr>
            <w:tcW w:w="850" w:type="dxa"/>
          </w:tcPr>
          <w:p w:rsidR="00D90FFC" w:rsidRPr="00132E6E" w:rsidRDefault="00D90FFC" w:rsidP="000B682F">
            <w:pPr>
              <w:jc w:val="center"/>
              <w:rPr>
                <w:rFonts w:ascii="Arial" w:hAnsi="Arial" w:cs="Arial"/>
                <w:sz w:val="16"/>
                <w:szCs w:val="16"/>
              </w:rPr>
            </w:pPr>
            <w:r>
              <w:rPr>
                <w:rFonts w:ascii="Arial" w:hAnsi="Arial" w:cs="Arial"/>
                <w:sz w:val="16"/>
                <w:szCs w:val="16"/>
              </w:rPr>
              <w:t>14</w:t>
            </w:r>
          </w:p>
        </w:tc>
        <w:tc>
          <w:tcPr>
            <w:tcW w:w="851" w:type="dxa"/>
          </w:tcPr>
          <w:p w:rsidR="00D90FFC" w:rsidRPr="00132E6E" w:rsidRDefault="00D90FFC" w:rsidP="000B682F">
            <w:pPr>
              <w:jc w:val="center"/>
              <w:rPr>
                <w:rFonts w:ascii="Arial" w:hAnsi="Arial" w:cs="Arial"/>
                <w:sz w:val="16"/>
                <w:szCs w:val="16"/>
              </w:rPr>
            </w:pPr>
            <w:r>
              <w:rPr>
                <w:rFonts w:ascii="Arial" w:hAnsi="Arial" w:cs="Arial"/>
                <w:sz w:val="16"/>
                <w:szCs w:val="16"/>
              </w:rPr>
              <w:t>12</w:t>
            </w:r>
          </w:p>
        </w:tc>
      </w:tr>
    </w:tbl>
    <w:p w:rsidR="00D90FFC" w:rsidRDefault="00D90FFC" w:rsidP="00BD7160">
      <w:pPr>
        <w:autoSpaceDE w:val="0"/>
        <w:autoSpaceDN w:val="0"/>
        <w:adjustRightInd w:val="0"/>
        <w:jc w:val="both"/>
        <w:rPr>
          <w:rFonts w:ascii="Arial" w:hAnsi="Arial" w:cs="Arial"/>
          <w:sz w:val="18"/>
          <w:szCs w:val="18"/>
        </w:rPr>
      </w:pPr>
    </w:p>
    <w:p w:rsidR="00D90FFC" w:rsidRDefault="00D90FFC" w:rsidP="00BD7160">
      <w:pPr>
        <w:autoSpaceDE w:val="0"/>
        <w:autoSpaceDN w:val="0"/>
        <w:adjustRightInd w:val="0"/>
        <w:jc w:val="both"/>
        <w:rPr>
          <w:rFonts w:ascii="Arial" w:hAnsi="Arial" w:cs="Arial"/>
          <w:sz w:val="18"/>
          <w:szCs w:val="18"/>
        </w:rPr>
      </w:pPr>
    </w:p>
    <w:p w:rsidR="0020024B" w:rsidRPr="001B6B6E" w:rsidRDefault="00BA3D78" w:rsidP="009D2A12">
      <w:pPr>
        <w:rPr>
          <w:rFonts w:ascii="Arial" w:hAnsi="Arial" w:cs="Arial"/>
          <w:sz w:val="18"/>
          <w:szCs w:val="18"/>
        </w:rPr>
      </w:pPr>
      <w:r>
        <w:rPr>
          <w:rFonts w:ascii="Arial" w:hAnsi="Arial" w:cs="Arial"/>
          <w:sz w:val="18"/>
          <w:szCs w:val="18"/>
        </w:rPr>
        <w:t xml:space="preserve"> </w:t>
      </w:r>
    </w:p>
    <w:p w:rsidR="00D90FFC" w:rsidRPr="00634648" w:rsidRDefault="00D90FFC" w:rsidP="000B682F">
      <w:pPr>
        <w:jc w:val="center"/>
        <w:rPr>
          <w:rFonts w:ascii="Arial" w:hAnsi="Arial" w:cs="Arial"/>
          <w:sz w:val="16"/>
          <w:szCs w:val="16"/>
        </w:rPr>
      </w:pPr>
      <w:r w:rsidRPr="00634648">
        <w:rPr>
          <w:rFonts w:ascii="Arial" w:hAnsi="Arial" w:cs="Arial"/>
          <w:sz w:val="16"/>
          <w:szCs w:val="16"/>
        </w:rPr>
        <w:t xml:space="preserve">Tabela </w:t>
      </w:r>
      <w:r>
        <w:rPr>
          <w:rFonts w:ascii="Arial" w:hAnsi="Arial" w:cs="Arial"/>
          <w:sz w:val="16"/>
          <w:szCs w:val="16"/>
        </w:rPr>
        <w:t>4</w:t>
      </w:r>
    </w:p>
    <w:p w:rsidR="00D90FFC" w:rsidRDefault="00D90FFC" w:rsidP="000B682F">
      <w:pPr>
        <w:jc w:val="center"/>
        <w:rPr>
          <w:rFonts w:ascii="Arial" w:hAnsi="Arial" w:cs="Arial"/>
          <w:sz w:val="16"/>
          <w:szCs w:val="16"/>
        </w:rPr>
      </w:pPr>
      <w:r>
        <w:rPr>
          <w:rFonts w:ascii="Arial" w:hAnsi="Arial" w:cs="Arial"/>
          <w:sz w:val="16"/>
          <w:szCs w:val="16"/>
        </w:rPr>
        <w:t>Risco de Atendimento – Energia Firme</w:t>
      </w:r>
    </w:p>
    <w:p w:rsidR="00D90FFC" w:rsidRPr="00634648" w:rsidRDefault="00D90FFC" w:rsidP="000B682F">
      <w:pPr>
        <w:jc w:val="center"/>
        <w:rPr>
          <w:rFonts w:ascii="Arial" w:hAnsi="Arial" w:cs="Arial"/>
          <w:sz w:val="16"/>
          <w:szCs w:val="16"/>
        </w:rPr>
      </w:pPr>
      <w:r>
        <w:rPr>
          <w:rFonts w:ascii="Arial" w:hAnsi="Arial" w:cs="Arial"/>
          <w:sz w:val="16"/>
          <w:szCs w:val="16"/>
        </w:rPr>
        <w:t>Configurações Hidrotérmicas</w:t>
      </w:r>
    </w:p>
    <w:tbl>
      <w:tblPr>
        <w:tblStyle w:val="Tabelacomgrade"/>
        <w:tblW w:w="0" w:type="auto"/>
        <w:tblLook w:val="04A0" w:firstRow="1" w:lastRow="0" w:firstColumn="1" w:lastColumn="0" w:noHBand="0" w:noVBand="1"/>
      </w:tblPr>
      <w:tblGrid>
        <w:gridCol w:w="2694"/>
        <w:gridCol w:w="850"/>
        <w:gridCol w:w="709"/>
        <w:gridCol w:w="850"/>
        <w:gridCol w:w="851"/>
        <w:gridCol w:w="850"/>
        <w:gridCol w:w="851"/>
      </w:tblGrid>
      <w:tr w:rsidR="00D90FFC" w:rsidRPr="00634648" w:rsidTr="00FA4441">
        <w:tc>
          <w:tcPr>
            <w:tcW w:w="2694" w:type="dxa"/>
            <w:tcBorders>
              <w:top w:val="nil"/>
              <w:left w:val="nil"/>
              <w:bottom w:val="single" w:sz="4" w:space="0" w:color="auto"/>
              <w:right w:val="single" w:sz="4" w:space="0" w:color="auto"/>
            </w:tcBorders>
          </w:tcPr>
          <w:p w:rsidR="00D90FFC" w:rsidRPr="00634648" w:rsidRDefault="00D90FFC" w:rsidP="000B682F">
            <w:pPr>
              <w:jc w:val="center"/>
              <w:rPr>
                <w:rFonts w:ascii="Arial" w:hAnsi="Arial" w:cs="Arial"/>
                <w:sz w:val="16"/>
                <w:szCs w:val="16"/>
              </w:rPr>
            </w:pPr>
          </w:p>
        </w:tc>
        <w:tc>
          <w:tcPr>
            <w:tcW w:w="850" w:type="dxa"/>
            <w:tcBorders>
              <w:left w:val="single" w:sz="4" w:space="0" w:color="auto"/>
            </w:tcBorders>
          </w:tcPr>
          <w:p w:rsidR="00D90FFC" w:rsidRPr="00634648" w:rsidRDefault="00D90FFC" w:rsidP="000B682F">
            <w:pPr>
              <w:jc w:val="center"/>
              <w:rPr>
                <w:rFonts w:ascii="Arial" w:hAnsi="Arial" w:cs="Arial"/>
                <w:sz w:val="16"/>
                <w:szCs w:val="16"/>
              </w:rPr>
            </w:pPr>
            <w:r w:rsidRPr="00634648">
              <w:rPr>
                <w:rFonts w:ascii="Arial" w:hAnsi="Arial" w:cs="Arial"/>
                <w:sz w:val="16"/>
                <w:szCs w:val="16"/>
              </w:rPr>
              <w:t>Sul-80</w:t>
            </w:r>
          </w:p>
        </w:tc>
        <w:tc>
          <w:tcPr>
            <w:tcW w:w="709" w:type="dxa"/>
          </w:tcPr>
          <w:p w:rsidR="00D90FFC" w:rsidRPr="00634648" w:rsidRDefault="00D90FFC" w:rsidP="000B682F">
            <w:pPr>
              <w:jc w:val="center"/>
              <w:rPr>
                <w:rFonts w:ascii="Arial" w:hAnsi="Arial" w:cs="Arial"/>
                <w:sz w:val="16"/>
                <w:szCs w:val="16"/>
              </w:rPr>
            </w:pPr>
            <w:r w:rsidRPr="00634648">
              <w:rPr>
                <w:rFonts w:ascii="Arial" w:hAnsi="Arial" w:cs="Arial"/>
                <w:sz w:val="16"/>
                <w:szCs w:val="16"/>
              </w:rPr>
              <w:t>SE-80</w:t>
            </w:r>
          </w:p>
        </w:tc>
        <w:tc>
          <w:tcPr>
            <w:tcW w:w="850" w:type="dxa"/>
          </w:tcPr>
          <w:p w:rsidR="00D90FFC" w:rsidRPr="00634648" w:rsidRDefault="00D90FFC" w:rsidP="000B682F">
            <w:pPr>
              <w:jc w:val="center"/>
              <w:rPr>
                <w:rFonts w:ascii="Arial" w:hAnsi="Arial" w:cs="Arial"/>
                <w:sz w:val="16"/>
                <w:szCs w:val="16"/>
              </w:rPr>
            </w:pPr>
            <w:r w:rsidRPr="00634648">
              <w:rPr>
                <w:rFonts w:ascii="Arial" w:hAnsi="Arial" w:cs="Arial"/>
                <w:sz w:val="16"/>
                <w:szCs w:val="16"/>
              </w:rPr>
              <w:t>SES-82</w:t>
            </w:r>
          </w:p>
        </w:tc>
        <w:tc>
          <w:tcPr>
            <w:tcW w:w="851" w:type="dxa"/>
          </w:tcPr>
          <w:p w:rsidR="00D90FFC" w:rsidRPr="00634648" w:rsidRDefault="00D90FFC" w:rsidP="000B682F">
            <w:pPr>
              <w:jc w:val="center"/>
              <w:rPr>
                <w:rFonts w:ascii="Arial" w:hAnsi="Arial" w:cs="Arial"/>
                <w:sz w:val="16"/>
                <w:szCs w:val="16"/>
              </w:rPr>
            </w:pPr>
            <w:r w:rsidRPr="00634648">
              <w:rPr>
                <w:rFonts w:ascii="Arial" w:hAnsi="Arial" w:cs="Arial"/>
                <w:sz w:val="16"/>
                <w:szCs w:val="16"/>
              </w:rPr>
              <w:t>SES-86</w:t>
            </w:r>
          </w:p>
        </w:tc>
        <w:tc>
          <w:tcPr>
            <w:tcW w:w="850" w:type="dxa"/>
          </w:tcPr>
          <w:p w:rsidR="00D90FFC" w:rsidRPr="00634648" w:rsidRDefault="00D90FFC" w:rsidP="000B682F">
            <w:pPr>
              <w:jc w:val="center"/>
              <w:rPr>
                <w:rFonts w:ascii="Arial" w:hAnsi="Arial" w:cs="Arial"/>
                <w:sz w:val="16"/>
                <w:szCs w:val="16"/>
              </w:rPr>
            </w:pPr>
            <w:r w:rsidRPr="00634648">
              <w:rPr>
                <w:rFonts w:ascii="Arial" w:hAnsi="Arial" w:cs="Arial"/>
                <w:sz w:val="16"/>
                <w:szCs w:val="16"/>
              </w:rPr>
              <w:t>SES-90</w:t>
            </w:r>
          </w:p>
        </w:tc>
        <w:tc>
          <w:tcPr>
            <w:tcW w:w="851" w:type="dxa"/>
          </w:tcPr>
          <w:p w:rsidR="00D90FFC" w:rsidRPr="00634648" w:rsidRDefault="00D90FFC" w:rsidP="000B682F">
            <w:pPr>
              <w:jc w:val="center"/>
              <w:rPr>
                <w:rFonts w:ascii="Arial" w:hAnsi="Arial" w:cs="Arial"/>
                <w:sz w:val="16"/>
                <w:szCs w:val="16"/>
              </w:rPr>
            </w:pPr>
            <w:r w:rsidRPr="00634648">
              <w:rPr>
                <w:rFonts w:ascii="Arial" w:hAnsi="Arial" w:cs="Arial"/>
                <w:sz w:val="16"/>
                <w:szCs w:val="16"/>
              </w:rPr>
              <w:t>SES-95</w:t>
            </w:r>
          </w:p>
        </w:tc>
      </w:tr>
      <w:tr w:rsidR="00D90FFC" w:rsidRPr="00634648" w:rsidTr="00FA4441">
        <w:tc>
          <w:tcPr>
            <w:tcW w:w="2694" w:type="dxa"/>
            <w:tcBorders>
              <w:top w:val="single" w:sz="4" w:space="0" w:color="auto"/>
            </w:tcBorders>
          </w:tcPr>
          <w:p w:rsidR="00D90FFC" w:rsidRPr="00634648" w:rsidRDefault="00D90FFC" w:rsidP="000B682F">
            <w:pPr>
              <w:jc w:val="center"/>
              <w:rPr>
                <w:rFonts w:ascii="Arial" w:hAnsi="Arial" w:cs="Arial"/>
                <w:sz w:val="16"/>
                <w:szCs w:val="16"/>
              </w:rPr>
            </w:pPr>
            <w:r>
              <w:rPr>
                <w:rFonts w:ascii="Arial" w:hAnsi="Arial" w:cs="Arial"/>
                <w:sz w:val="16"/>
                <w:szCs w:val="16"/>
              </w:rPr>
              <w:t>Probabilidade Anual de Déficit (%)</w:t>
            </w:r>
          </w:p>
        </w:tc>
        <w:tc>
          <w:tcPr>
            <w:tcW w:w="850" w:type="dxa"/>
          </w:tcPr>
          <w:p w:rsidR="00D90FFC" w:rsidRPr="00634648" w:rsidRDefault="00D90FFC" w:rsidP="000B682F">
            <w:pPr>
              <w:jc w:val="center"/>
              <w:rPr>
                <w:rFonts w:ascii="Arial" w:hAnsi="Arial" w:cs="Arial"/>
                <w:sz w:val="16"/>
                <w:szCs w:val="16"/>
              </w:rPr>
            </w:pPr>
            <w:r>
              <w:rPr>
                <w:rFonts w:ascii="Arial" w:hAnsi="Arial" w:cs="Arial"/>
                <w:sz w:val="16"/>
                <w:szCs w:val="16"/>
              </w:rPr>
              <w:t>1,1%</w:t>
            </w:r>
          </w:p>
        </w:tc>
        <w:tc>
          <w:tcPr>
            <w:tcW w:w="709" w:type="dxa"/>
          </w:tcPr>
          <w:p w:rsidR="00D90FFC" w:rsidRPr="00634648" w:rsidRDefault="00D90FFC" w:rsidP="000B682F">
            <w:pPr>
              <w:jc w:val="center"/>
              <w:rPr>
                <w:rFonts w:ascii="Arial" w:hAnsi="Arial" w:cs="Arial"/>
                <w:sz w:val="16"/>
                <w:szCs w:val="16"/>
              </w:rPr>
            </w:pPr>
            <w:r>
              <w:rPr>
                <w:rFonts w:ascii="Arial" w:hAnsi="Arial" w:cs="Arial"/>
                <w:sz w:val="16"/>
                <w:szCs w:val="16"/>
              </w:rPr>
              <w:t>0,6%</w:t>
            </w:r>
          </w:p>
        </w:tc>
        <w:tc>
          <w:tcPr>
            <w:tcW w:w="850" w:type="dxa"/>
          </w:tcPr>
          <w:p w:rsidR="00D90FFC" w:rsidRPr="00634648" w:rsidRDefault="00D90FFC" w:rsidP="000B682F">
            <w:pPr>
              <w:jc w:val="center"/>
              <w:rPr>
                <w:rFonts w:ascii="Arial" w:hAnsi="Arial" w:cs="Arial"/>
                <w:sz w:val="16"/>
                <w:szCs w:val="16"/>
              </w:rPr>
            </w:pPr>
            <w:r>
              <w:rPr>
                <w:rFonts w:ascii="Arial" w:hAnsi="Arial" w:cs="Arial"/>
                <w:sz w:val="16"/>
                <w:szCs w:val="16"/>
              </w:rPr>
              <w:t>3,4%</w:t>
            </w:r>
          </w:p>
        </w:tc>
        <w:tc>
          <w:tcPr>
            <w:tcW w:w="851" w:type="dxa"/>
          </w:tcPr>
          <w:p w:rsidR="00D90FFC" w:rsidRPr="00634648" w:rsidRDefault="00023811" w:rsidP="000B682F">
            <w:pPr>
              <w:jc w:val="center"/>
              <w:rPr>
                <w:rFonts w:ascii="Arial" w:hAnsi="Arial" w:cs="Arial"/>
                <w:sz w:val="16"/>
                <w:szCs w:val="16"/>
              </w:rPr>
            </w:pPr>
            <w:r>
              <w:rPr>
                <w:rFonts w:ascii="Arial" w:hAnsi="Arial" w:cs="Arial"/>
                <w:sz w:val="16"/>
                <w:szCs w:val="16"/>
              </w:rPr>
              <w:t>3,8%</w:t>
            </w:r>
          </w:p>
        </w:tc>
        <w:tc>
          <w:tcPr>
            <w:tcW w:w="850" w:type="dxa"/>
          </w:tcPr>
          <w:p w:rsidR="00D90FFC" w:rsidRPr="00634648" w:rsidRDefault="00023811" w:rsidP="000B682F">
            <w:pPr>
              <w:jc w:val="center"/>
              <w:rPr>
                <w:rFonts w:ascii="Arial" w:hAnsi="Arial" w:cs="Arial"/>
                <w:sz w:val="16"/>
                <w:szCs w:val="16"/>
              </w:rPr>
            </w:pPr>
            <w:r>
              <w:rPr>
                <w:rFonts w:ascii="Arial" w:hAnsi="Arial" w:cs="Arial"/>
                <w:sz w:val="16"/>
                <w:szCs w:val="16"/>
              </w:rPr>
              <w:t>4,0%</w:t>
            </w:r>
          </w:p>
        </w:tc>
        <w:tc>
          <w:tcPr>
            <w:tcW w:w="851" w:type="dxa"/>
          </w:tcPr>
          <w:p w:rsidR="00D90FFC" w:rsidRPr="00634648" w:rsidRDefault="00023811" w:rsidP="000B682F">
            <w:pPr>
              <w:jc w:val="center"/>
              <w:rPr>
                <w:rFonts w:ascii="Arial" w:hAnsi="Arial" w:cs="Arial"/>
                <w:sz w:val="16"/>
                <w:szCs w:val="16"/>
              </w:rPr>
            </w:pPr>
            <w:r>
              <w:rPr>
                <w:rFonts w:ascii="Arial" w:hAnsi="Arial" w:cs="Arial"/>
                <w:sz w:val="16"/>
                <w:szCs w:val="16"/>
              </w:rPr>
              <w:t>4,9%</w:t>
            </w:r>
          </w:p>
        </w:tc>
      </w:tr>
      <w:tr w:rsidR="00D90FFC" w:rsidRPr="00634648" w:rsidTr="00FA4441">
        <w:tc>
          <w:tcPr>
            <w:tcW w:w="2694" w:type="dxa"/>
          </w:tcPr>
          <w:p w:rsidR="00D90FFC" w:rsidRPr="00634648" w:rsidRDefault="00D90FFC" w:rsidP="000B682F">
            <w:pPr>
              <w:jc w:val="center"/>
              <w:rPr>
                <w:rFonts w:ascii="Arial" w:hAnsi="Arial" w:cs="Arial"/>
                <w:sz w:val="16"/>
                <w:szCs w:val="16"/>
              </w:rPr>
            </w:pPr>
            <w:r>
              <w:rPr>
                <w:rFonts w:ascii="Arial" w:hAnsi="Arial" w:cs="Arial"/>
                <w:sz w:val="16"/>
                <w:szCs w:val="16"/>
              </w:rPr>
              <w:t>D</w:t>
            </w:r>
            <w:r w:rsidR="00023811">
              <w:rPr>
                <w:rFonts w:ascii="Arial" w:hAnsi="Arial" w:cs="Arial"/>
                <w:sz w:val="16"/>
                <w:szCs w:val="16"/>
              </w:rPr>
              <w:t>éficit E</w:t>
            </w:r>
            <w:r>
              <w:rPr>
                <w:rFonts w:ascii="Arial" w:hAnsi="Arial" w:cs="Arial"/>
                <w:sz w:val="16"/>
                <w:szCs w:val="16"/>
              </w:rPr>
              <w:t>sperado (MWa)</w:t>
            </w:r>
          </w:p>
        </w:tc>
        <w:tc>
          <w:tcPr>
            <w:tcW w:w="850" w:type="dxa"/>
          </w:tcPr>
          <w:p w:rsidR="00D90FFC" w:rsidRPr="00634648" w:rsidRDefault="00023811" w:rsidP="000B682F">
            <w:pPr>
              <w:jc w:val="center"/>
              <w:rPr>
                <w:rFonts w:ascii="Arial" w:hAnsi="Arial" w:cs="Arial"/>
                <w:sz w:val="16"/>
                <w:szCs w:val="16"/>
              </w:rPr>
            </w:pPr>
            <w:r>
              <w:rPr>
                <w:rFonts w:ascii="Arial" w:hAnsi="Arial" w:cs="Arial"/>
                <w:sz w:val="16"/>
                <w:szCs w:val="16"/>
              </w:rPr>
              <w:t>0</w:t>
            </w:r>
          </w:p>
        </w:tc>
        <w:tc>
          <w:tcPr>
            <w:tcW w:w="709" w:type="dxa"/>
          </w:tcPr>
          <w:p w:rsidR="00D90FFC" w:rsidRPr="00634648" w:rsidRDefault="00023811" w:rsidP="000B682F">
            <w:pPr>
              <w:jc w:val="center"/>
              <w:rPr>
                <w:rFonts w:ascii="Arial" w:hAnsi="Arial" w:cs="Arial"/>
                <w:sz w:val="16"/>
                <w:szCs w:val="16"/>
              </w:rPr>
            </w:pPr>
            <w:r>
              <w:rPr>
                <w:rFonts w:ascii="Arial" w:hAnsi="Arial" w:cs="Arial"/>
                <w:sz w:val="16"/>
                <w:szCs w:val="16"/>
              </w:rPr>
              <w:t>4</w:t>
            </w:r>
          </w:p>
        </w:tc>
        <w:tc>
          <w:tcPr>
            <w:tcW w:w="850" w:type="dxa"/>
          </w:tcPr>
          <w:p w:rsidR="00D90FFC" w:rsidRPr="00634648" w:rsidRDefault="00023811" w:rsidP="000B682F">
            <w:pPr>
              <w:jc w:val="center"/>
              <w:rPr>
                <w:rFonts w:ascii="Arial" w:hAnsi="Arial" w:cs="Arial"/>
                <w:sz w:val="16"/>
                <w:szCs w:val="16"/>
              </w:rPr>
            </w:pPr>
            <w:r>
              <w:rPr>
                <w:rFonts w:ascii="Arial" w:hAnsi="Arial" w:cs="Arial"/>
                <w:sz w:val="16"/>
                <w:szCs w:val="16"/>
              </w:rPr>
              <w:t>39</w:t>
            </w:r>
          </w:p>
        </w:tc>
        <w:tc>
          <w:tcPr>
            <w:tcW w:w="851" w:type="dxa"/>
          </w:tcPr>
          <w:p w:rsidR="00D90FFC" w:rsidRPr="00634648" w:rsidRDefault="00023811" w:rsidP="000B682F">
            <w:pPr>
              <w:jc w:val="center"/>
              <w:rPr>
                <w:rFonts w:ascii="Arial" w:hAnsi="Arial" w:cs="Arial"/>
                <w:sz w:val="16"/>
                <w:szCs w:val="16"/>
              </w:rPr>
            </w:pPr>
            <w:r>
              <w:rPr>
                <w:rFonts w:ascii="Arial" w:hAnsi="Arial" w:cs="Arial"/>
                <w:sz w:val="16"/>
                <w:szCs w:val="16"/>
              </w:rPr>
              <w:t>91</w:t>
            </w:r>
          </w:p>
        </w:tc>
        <w:tc>
          <w:tcPr>
            <w:tcW w:w="850" w:type="dxa"/>
          </w:tcPr>
          <w:p w:rsidR="00D90FFC" w:rsidRPr="00634648" w:rsidRDefault="00023811" w:rsidP="000B682F">
            <w:pPr>
              <w:jc w:val="center"/>
              <w:rPr>
                <w:rFonts w:ascii="Arial" w:hAnsi="Arial" w:cs="Arial"/>
                <w:sz w:val="16"/>
                <w:szCs w:val="16"/>
              </w:rPr>
            </w:pPr>
            <w:r>
              <w:rPr>
                <w:rFonts w:ascii="Arial" w:hAnsi="Arial" w:cs="Arial"/>
                <w:sz w:val="16"/>
                <w:szCs w:val="16"/>
              </w:rPr>
              <w:t>116</w:t>
            </w:r>
          </w:p>
        </w:tc>
        <w:tc>
          <w:tcPr>
            <w:tcW w:w="851" w:type="dxa"/>
          </w:tcPr>
          <w:p w:rsidR="00D90FFC" w:rsidRPr="00634648" w:rsidRDefault="00023811" w:rsidP="000B682F">
            <w:pPr>
              <w:jc w:val="center"/>
              <w:rPr>
                <w:rFonts w:ascii="Arial" w:hAnsi="Arial" w:cs="Arial"/>
                <w:sz w:val="16"/>
                <w:szCs w:val="16"/>
              </w:rPr>
            </w:pPr>
            <w:r>
              <w:rPr>
                <w:rFonts w:ascii="Arial" w:hAnsi="Arial" w:cs="Arial"/>
                <w:sz w:val="16"/>
                <w:szCs w:val="16"/>
              </w:rPr>
              <w:t>180</w:t>
            </w:r>
          </w:p>
        </w:tc>
      </w:tr>
      <w:tr w:rsidR="00D90FFC" w:rsidRPr="00634648" w:rsidTr="00FA4441">
        <w:tc>
          <w:tcPr>
            <w:tcW w:w="2694" w:type="dxa"/>
          </w:tcPr>
          <w:p w:rsidR="00D90FFC" w:rsidRPr="00634648" w:rsidRDefault="00D90FFC" w:rsidP="000B682F">
            <w:pPr>
              <w:jc w:val="center"/>
              <w:rPr>
                <w:rFonts w:ascii="Arial" w:hAnsi="Arial" w:cs="Arial"/>
                <w:sz w:val="16"/>
                <w:szCs w:val="16"/>
              </w:rPr>
            </w:pPr>
            <w:r>
              <w:rPr>
                <w:rFonts w:ascii="Arial" w:hAnsi="Arial" w:cs="Arial"/>
                <w:sz w:val="16"/>
                <w:szCs w:val="16"/>
              </w:rPr>
              <w:t>Probabilidade Anual de Vertimento (%)</w:t>
            </w:r>
          </w:p>
        </w:tc>
        <w:tc>
          <w:tcPr>
            <w:tcW w:w="850" w:type="dxa"/>
          </w:tcPr>
          <w:p w:rsidR="00D90FFC" w:rsidRPr="00132E6E" w:rsidRDefault="00023811" w:rsidP="000B682F">
            <w:pPr>
              <w:jc w:val="center"/>
              <w:rPr>
                <w:rFonts w:ascii="Arial" w:hAnsi="Arial" w:cs="Arial"/>
                <w:sz w:val="16"/>
                <w:szCs w:val="16"/>
              </w:rPr>
            </w:pPr>
            <w:r>
              <w:rPr>
                <w:rFonts w:ascii="Arial" w:hAnsi="Arial" w:cs="Arial"/>
                <w:sz w:val="16"/>
                <w:szCs w:val="16"/>
              </w:rPr>
              <w:t>80%</w:t>
            </w:r>
          </w:p>
        </w:tc>
        <w:tc>
          <w:tcPr>
            <w:tcW w:w="709" w:type="dxa"/>
          </w:tcPr>
          <w:p w:rsidR="00D90FFC" w:rsidRPr="00132E6E" w:rsidRDefault="00023811" w:rsidP="000B682F">
            <w:pPr>
              <w:jc w:val="center"/>
              <w:rPr>
                <w:rFonts w:ascii="Arial" w:hAnsi="Arial" w:cs="Arial"/>
                <w:sz w:val="16"/>
                <w:szCs w:val="16"/>
              </w:rPr>
            </w:pPr>
            <w:r>
              <w:rPr>
                <w:rFonts w:ascii="Arial" w:hAnsi="Arial" w:cs="Arial"/>
                <w:sz w:val="16"/>
                <w:szCs w:val="16"/>
              </w:rPr>
              <w:t>81%</w:t>
            </w:r>
          </w:p>
        </w:tc>
        <w:tc>
          <w:tcPr>
            <w:tcW w:w="850" w:type="dxa"/>
          </w:tcPr>
          <w:p w:rsidR="00D90FFC" w:rsidRPr="00132E6E" w:rsidRDefault="00023811" w:rsidP="000B682F">
            <w:pPr>
              <w:jc w:val="center"/>
              <w:rPr>
                <w:rFonts w:ascii="Arial" w:hAnsi="Arial" w:cs="Arial"/>
                <w:sz w:val="16"/>
                <w:szCs w:val="16"/>
              </w:rPr>
            </w:pPr>
            <w:r>
              <w:rPr>
                <w:rFonts w:ascii="Arial" w:hAnsi="Arial" w:cs="Arial"/>
                <w:sz w:val="16"/>
                <w:szCs w:val="16"/>
              </w:rPr>
              <w:t>63%</w:t>
            </w:r>
          </w:p>
        </w:tc>
        <w:tc>
          <w:tcPr>
            <w:tcW w:w="851" w:type="dxa"/>
          </w:tcPr>
          <w:p w:rsidR="00D90FFC" w:rsidRPr="00634648" w:rsidRDefault="00023811" w:rsidP="000B682F">
            <w:pPr>
              <w:jc w:val="center"/>
              <w:rPr>
                <w:rFonts w:ascii="Arial" w:hAnsi="Arial" w:cs="Arial"/>
                <w:sz w:val="16"/>
                <w:szCs w:val="16"/>
              </w:rPr>
            </w:pPr>
            <w:r>
              <w:rPr>
                <w:rFonts w:ascii="Arial" w:hAnsi="Arial" w:cs="Arial"/>
                <w:sz w:val="16"/>
                <w:szCs w:val="16"/>
              </w:rPr>
              <w:t>70%</w:t>
            </w:r>
          </w:p>
        </w:tc>
        <w:tc>
          <w:tcPr>
            <w:tcW w:w="850" w:type="dxa"/>
          </w:tcPr>
          <w:p w:rsidR="00D90FFC" w:rsidRPr="00634648" w:rsidRDefault="00023811" w:rsidP="000B682F">
            <w:pPr>
              <w:jc w:val="center"/>
              <w:rPr>
                <w:rFonts w:ascii="Arial" w:hAnsi="Arial" w:cs="Arial"/>
                <w:sz w:val="16"/>
                <w:szCs w:val="16"/>
              </w:rPr>
            </w:pPr>
            <w:r>
              <w:rPr>
                <w:rFonts w:ascii="Arial" w:hAnsi="Arial" w:cs="Arial"/>
                <w:sz w:val="16"/>
                <w:szCs w:val="16"/>
              </w:rPr>
              <w:t>64%</w:t>
            </w:r>
          </w:p>
        </w:tc>
        <w:tc>
          <w:tcPr>
            <w:tcW w:w="851" w:type="dxa"/>
          </w:tcPr>
          <w:p w:rsidR="00D90FFC" w:rsidRPr="00634648" w:rsidRDefault="00023811" w:rsidP="000B682F">
            <w:pPr>
              <w:jc w:val="center"/>
              <w:rPr>
                <w:rFonts w:ascii="Arial" w:hAnsi="Arial" w:cs="Arial"/>
                <w:sz w:val="16"/>
                <w:szCs w:val="16"/>
              </w:rPr>
            </w:pPr>
            <w:r>
              <w:rPr>
                <w:rFonts w:ascii="Arial" w:hAnsi="Arial" w:cs="Arial"/>
                <w:sz w:val="16"/>
                <w:szCs w:val="16"/>
              </w:rPr>
              <w:t>57%</w:t>
            </w:r>
          </w:p>
        </w:tc>
      </w:tr>
      <w:tr w:rsidR="00D90FFC" w:rsidRPr="00634648" w:rsidTr="00FA4441">
        <w:tc>
          <w:tcPr>
            <w:tcW w:w="2694" w:type="dxa"/>
          </w:tcPr>
          <w:p w:rsidR="00D90FFC" w:rsidRPr="00634648" w:rsidRDefault="00D90FFC" w:rsidP="000B682F">
            <w:pPr>
              <w:jc w:val="center"/>
              <w:rPr>
                <w:rFonts w:ascii="Arial" w:hAnsi="Arial" w:cs="Arial"/>
                <w:sz w:val="16"/>
                <w:szCs w:val="16"/>
              </w:rPr>
            </w:pPr>
            <w:r>
              <w:rPr>
                <w:rFonts w:ascii="Arial" w:hAnsi="Arial" w:cs="Arial"/>
                <w:sz w:val="16"/>
                <w:szCs w:val="16"/>
              </w:rPr>
              <w:t>Vertimento Esperado (MWa)</w:t>
            </w:r>
          </w:p>
        </w:tc>
        <w:tc>
          <w:tcPr>
            <w:tcW w:w="850" w:type="dxa"/>
          </w:tcPr>
          <w:p w:rsidR="00D90FFC" w:rsidRPr="00132E6E" w:rsidRDefault="00023811" w:rsidP="000B682F">
            <w:pPr>
              <w:jc w:val="center"/>
              <w:rPr>
                <w:rFonts w:ascii="Arial" w:hAnsi="Arial" w:cs="Arial"/>
                <w:sz w:val="16"/>
                <w:szCs w:val="16"/>
              </w:rPr>
            </w:pPr>
            <w:r>
              <w:rPr>
                <w:rFonts w:ascii="Arial" w:hAnsi="Arial" w:cs="Arial"/>
                <w:sz w:val="16"/>
                <w:szCs w:val="16"/>
              </w:rPr>
              <w:t>196</w:t>
            </w:r>
          </w:p>
        </w:tc>
        <w:tc>
          <w:tcPr>
            <w:tcW w:w="709" w:type="dxa"/>
          </w:tcPr>
          <w:p w:rsidR="00D90FFC" w:rsidRPr="00132E6E" w:rsidRDefault="00023811" w:rsidP="000B682F">
            <w:pPr>
              <w:jc w:val="center"/>
              <w:rPr>
                <w:rFonts w:ascii="Arial" w:hAnsi="Arial" w:cs="Arial"/>
                <w:sz w:val="16"/>
                <w:szCs w:val="16"/>
              </w:rPr>
            </w:pPr>
            <w:r>
              <w:rPr>
                <w:rFonts w:ascii="Arial" w:hAnsi="Arial" w:cs="Arial"/>
                <w:sz w:val="16"/>
                <w:szCs w:val="16"/>
              </w:rPr>
              <w:t>1.503</w:t>
            </w:r>
          </w:p>
        </w:tc>
        <w:tc>
          <w:tcPr>
            <w:tcW w:w="850" w:type="dxa"/>
          </w:tcPr>
          <w:p w:rsidR="00D90FFC" w:rsidRPr="00132E6E" w:rsidRDefault="00023811" w:rsidP="000B682F">
            <w:pPr>
              <w:jc w:val="center"/>
              <w:rPr>
                <w:rFonts w:ascii="Arial" w:hAnsi="Arial" w:cs="Arial"/>
                <w:sz w:val="16"/>
                <w:szCs w:val="16"/>
              </w:rPr>
            </w:pPr>
            <w:r>
              <w:rPr>
                <w:rFonts w:ascii="Arial" w:hAnsi="Arial" w:cs="Arial"/>
                <w:sz w:val="16"/>
                <w:szCs w:val="16"/>
              </w:rPr>
              <w:t>1.449</w:t>
            </w:r>
          </w:p>
        </w:tc>
        <w:tc>
          <w:tcPr>
            <w:tcW w:w="851" w:type="dxa"/>
          </w:tcPr>
          <w:p w:rsidR="00D90FFC" w:rsidRPr="00132E6E" w:rsidRDefault="00023811" w:rsidP="000B682F">
            <w:pPr>
              <w:jc w:val="center"/>
              <w:rPr>
                <w:rFonts w:ascii="Arial" w:hAnsi="Arial" w:cs="Arial"/>
                <w:sz w:val="16"/>
                <w:szCs w:val="16"/>
              </w:rPr>
            </w:pPr>
            <w:r>
              <w:rPr>
                <w:rFonts w:ascii="Arial" w:hAnsi="Arial" w:cs="Arial"/>
                <w:sz w:val="16"/>
                <w:szCs w:val="16"/>
              </w:rPr>
              <w:t>2.968</w:t>
            </w:r>
          </w:p>
        </w:tc>
        <w:tc>
          <w:tcPr>
            <w:tcW w:w="850" w:type="dxa"/>
          </w:tcPr>
          <w:p w:rsidR="00D90FFC" w:rsidRPr="00132E6E" w:rsidRDefault="00023811" w:rsidP="000B682F">
            <w:pPr>
              <w:jc w:val="center"/>
              <w:rPr>
                <w:rFonts w:ascii="Arial" w:hAnsi="Arial" w:cs="Arial"/>
                <w:sz w:val="16"/>
                <w:szCs w:val="16"/>
              </w:rPr>
            </w:pPr>
            <w:r>
              <w:rPr>
                <w:rFonts w:ascii="Arial" w:hAnsi="Arial" w:cs="Arial"/>
                <w:sz w:val="16"/>
                <w:szCs w:val="16"/>
              </w:rPr>
              <w:t>3.046</w:t>
            </w:r>
          </w:p>
        </w:tc>
        <w:tc>
          <w:tcPr>
            <w:tcW w:w="851" w:type="dxa"/>
          </w:tcPr>
          <w:p w:rsidR="00D90FFC" w:rsidRPr="00132E6E" w:rsidRDefault="00023811" w:rsidP="000B682F">
            <w:pPr>
              <w:jc w:val="center"/>
              <w:rPr>
                <w:rFonts w:ascii="Arial" w:hAnsi="Arial" w:cs="Arial"/>
                <w:sz w:val="16"/>
                <w:szCs w:val="16"/>
              </w:rPr>
            </w:pPr>
            <w:r>
              <w:rPr>
                <w:rFonts w:ascii="Arial" w:hAnsi="Arial" w:cs="Arial"/>
                <w:sz w:val="16"/>
                <w:szCs w:val="16"/>
              </w:rPr>
              <w:t>2.972</w:t>
            </w:r>
          </w:p>
        </w:tc>
      </w:tr>
      <w:tr w:rsidR="00D90FFC" w:rsidTr="00FA4441">
        <w:tc>
          <w:tcPr>
            <w:tcW w:w="2694" w:type="dxa"/>
          </w:tcPr>
          <w:p w:rsidR="00D90FFC" w:rsidRPr="00634648" w:rsidRDefault="00D90FFC" w:rsidP="000B682F">
            <w:pPr>
              <w:jc w:val="center"/>
              <w:rPr>
                <w:rFonts w:ascii="Arial" w:hAnsi="Arial" w:cs="Arial"/>
                <w:sz w:val="16"/>
                <w:szCs w:val="16"/>
              </w:rPr>
            </w:pPr>
            <w:r>
              <w:rPr>
                <w:rFonts w:ascii="Arial" w:hAnsi="Arial" w:cs="Arial"/>
                <w:sz w:val="16"/>
                <w:szCs w:val="16"/>
              </w:rPr>
              <w:t>Vertimento Esperado (%)</w:t>
            </w:r>
          </w:p>
        </w:tc>
        <w:tc>
          <w:tcPr>
            <w:tcW w:w="850" w:type="dxa"/>
          </w:tcPr>
          <w:p w:rsidR="00D90FFC" w:rsidRPr="00132E6E" w:rsidRDefault="00023811" w:rsidP="000B682F">
            <w:pPr>
              <w:jc w:val="center"/>
              <w:rPr>
                <w:rFonts w:ascii="Arial" w:hAnsi="Arial" w:cs="Arial"/>
                <w:sz w:val="16"/>
                <w:szCs w:val="16"/>
              </w:rPr>
            </w:pPr>
            <w:r>
              <w:rPr>
                <w:rFonts w:ascii="Arial" w:hAnsi="Arial" w:cs="Arial"/>
                <w:sz w:val="16"/>
                <w:szCs w:val="16"/>
              </w:rPr>
              <w:t>18</w:t>
            </w:r>
          </w:p>
        </w:tc>
        <w:tc>
          <w:tcPr>
            <w:tcW w:w="709" w:type="dxa"/>
          </w:tcPr>
          <w:p w:rsidR="00D90FFC" w:rsidRPr="00132E6E" w:rsidRDefault="00023811" w:rsidP="000B682F">
            <w:pPr>
              <w:jc w:val="center"/>
              <w:rPr>
                <w:rFonts w:ascii="Arial" w:hAnsi="Arial" w:cs="Arial"/>
                <w:sz w:val="16"/>
                <w:szCs w:val="16"/>
              </w:rPr>
            </w:pPr>
            <w:r>
              <w:rPr>
                <w:rFonts w:ascii="Arial" w:hAnsi="Arial" w:cs="Arial"/>
                <w:sz w:val="16"/>
                <w:szCs w:val="16"/>
              </w:rPr>
              <w:t>16</w:t>
            </w:r>
          </w:p>
        </w:tc>
        <w:tc>
          <w:tcPr>
            <w:tcW w:w="850" w:type="dxa"/>
          </w:tcPr>
          <w:p w:rsidR="00D90FFC" w:rsidRPr="00132E6E" w:rsidRDefault="00023811" w:rsidP="000B682F">
            <w:pPr>
              <w:jc w:val="center"/>
              <w:rPr>
                <w:rFonts w:ascii="Arial" w:hAnsi="Arial" w:cs="Arial"/>
                <w:sz w:val="16"/>
                <w:szCs w:val="16"/>
              </w:rPr>
            </w:pPr>
            <w:r>
              <w:rPr>
                <w:rFonts w:ascii="Arial" w:hAnsi="Arial" w:cs="Arial"/>
                <w:sz w:val="16"/>
                <w:szCs w:val="16"/>
              </w:rPr>
              <w:t>10</w:t>
            </w:r>
          </w:p>
        </w:tc>
        <w:tc>
          <w:tcPr>
            <w:tcW w:w="851" w:type="dxa"/>
          </w:tcPr>
          <w:p w:rsidR="00D90FFC" w:rsidRPr="00132E6E" w:rsidRDefault="00023811" w:rsidP="000B682F">
            <w:pPr>
              <w:jc w:val="center"/>
              <w:rPr>
                <w:rFonts w:ascii="Arial" w:hAnsi="Arial" w:cs="Arial"/>
                <w:sz w:val="16"/>
                <w:szCs w:val="16"/>
              </w:rPr>
            </w:pPr>
            <w:r>
              <w:rPr>
                <w:rFonts w:ascii="Arial" w:hAnsi="Arial" w:cs="Arial"/>
                <w:sz w:val="16"/>
                <w:szCs w:val="16"/>
              </w:rPr>
              <w:t>12</w:t>
            </w:r>
          </w:p>
        </w:tc>
        <w:tc>
          <w:tcPr>
            <w:tcW w:w="850" w:type="dxa"/>
          </w:tcPr>
          <w:p w:rsidR="00D90FFC" w:rsidRPr="00132E6E" w:rsidRDefault="00023811" w:rsidP="000B682F">
            <w:pPr>
              <w:jc w:val="center"/>
              <w:rPr>
                <w:rFonts w:ascii="Arial" w:hAnsi="Arial" w:cs="Arial"/>
                <w:sz w:val="16"/>
                <w:szCs w:val="16"/>
              </w:rPr>
            </w:pPr>
            <w:r>
              <w:rPr>
                <w:rFonts w:ascii="Arial" w:hAnsi="Arial" w:cs="Arial"/>
                <w:sz w:val="16"/>
                <w:szCs w:val="16"/>
              </w:rPr>
              <w:t>10</w:t>
            </w:r>
          </w:p>
        </w:tc>
        <w:tc>
          <w:tcPr>
            <w:tcW w:w="851" w:type="dxa"/>
          </w:tcPr>
          <w:p w:rsidR="00D90FFC" w:rsidRPr="00132E6E" w:rsidRDefault="00023811" w:rsidP="000B682F">
            <w:pPr>
              <w:jc w:val="center"/>
              <w:rPr>
                <w:rFonts w:ascii="Arial" w:hAnsi="Arial" w:cs="Arial"/>
                <w:sz w:val="16"/>
                <w:szCs w:val="16"/>
              </w:rPr>
            </w:pPr>
            <w:r>
              <w:rPr>
                <w:rFonts w:ascii="Arial" w:hAnsi="Arial" w:cs="Arial"/>
                <w:sz w:val="16"/>
                <w:szCs w:val="16"/>
              </w:rPr>
              <w:t>8</w:t>
            </w:r>
          </w:p>
        </w:tc>
      </w:tr>
    </w:tbl>
    <w:p w:rsidR="003C519C" w:rsidRDefault="003C519C" w:rsidP="00CA222B">
      <w:pPr>
        <w:autoSpaceDE w:val="0"/>
        <w:autoSpaceDN w:val="0"/>
        <w:adjustRightInd w:val="0"/>
        <w:jc w:val="both"/>
        <w:rPr>
          <w:rFonts w:ascii="Arial" w:hAnsi="Arial" w:cs="Arial"/>
          <w:sz w:val="18"/>
          <w:szCs w:val="18"/>
        </w:rPr>
      </w:pPr>
    </w:p>
    <w:p w:rsidR="00023811" w:rsidRDefault="00023811" w:rsidP="000B682F">
      <w:pPr>
        <w:autoSpaceDE w:val="0"/>
        <w:autoSpaceDN w:val="0"/>
        <w:adjustRightInd w:val="0"/>
        <w:spacing w:line="360" w:lineRule="auto"/>
        <w:jc w:val="both"/>
        <w:rPr>
          <w:rFonts w:ascii="Arial" w:hAnsi="Arial" w:cs="Arial"/>
          <w:sz w:val="18"/>
          <w:szCs w:val="18"/>
        </w:rPr>
      </w:pPr>
      <w:r>
        <w:rPr>
          <w:rFonts w:ascii="Arial" w:hAnsi="Arial" w:cs="Arial"/>
          <w:sz w:val="18"/>
          <w:szCs w:val="18"/>
        </w:rPr>
        <w:t>Em relação as Tabelas acima as seguintes considerações são importantes:</w:t>
      </w:r>
    </w:p>
    <w:p w:rsidR="00023811" w:rsidRDefault="00023811" w:rsidP="000B682F">
      <w:pPr>
        <w:autoSpaceDE w:val="0"/>
        <w:autoSpaceDN w:val="0"/>
        <w:adjustRightInd w:val="0"/>
        <w:spacing w:line="360" w:lineRule="auto"/>
        <w:jc w:val="both"/>
        <w:rPr>
          <w:rFonts w:ascii="Arial" w:hAnsi="Arial" w:cs="Arial"/>
          <w:sz w:val="18"/>
          <w:szCs w:val="18"/>
        </w:rPr>
      </w:pPr>
    </w:p>
    <w:p w:rsidR="00023811" w:rsidRDefault="00023811" w:rsidP="000B682F">
      <w:pPr>
        <w:autoSpaceDE w:val="0"/>
        <w:autoSpaceDN w:val="0"/>
        <w:adjustRightInd w:val="0"/>
        <w:spacing w:line="360" w:lineRule="auto"/>
        <w:jc w:val="both"/>
        <w:rPr>
          <w:rFonts w:ascii="Arial" w:hAnsi="Arial" w:cs="Arial"/>
          <w:sz w:val="18"/>
          <w:szCs w:val="18"/>
        </w:rPr>
      </w:pPr>
      <w:r>
        <w:rPr>
          <w:rFonts w:ascii="Arial" w:hAnsi="Arial" w:cs="Arial"/>
          <w:sz w:val="18"/>
          <w:szCs w:val="18"/>
        </w:rPr>
        <w:t>i) A discrepância entre os PDEF de Sul-80 para configurações com ou sem térmica deve-se ao fato da elevada complementação térmica da região implicar num período crítico menos acentuado. Isto leva a uma aproximação entre as energias firme e média o que aumento o risco de déficit. O mesmo não ocorre em outras configurações.</w:t>
      </w:r>
    </w:p>
    <w:p w:rsidR="00B428D0" w:rsidRDefault="00B428D0" w:rsidP="000B682F">
      <w:pPr>
        <w:autoSpaceDE w:val="0"/>
        <w:autoSpaceDN w:val="0"/>
        <w:adjustRightInd w:val="0"/>
        <w:spacing w:line="360" w:lineRule="auto"/>
        <w:jc w:val="both"/>
        <w:rPr>
          <w:rFonts w:ascii="Arial" w:hAnsi="Arial" w:cs="Arial"/>
          <w:sz w:val="18"/>
          <w:szCs w:val="18"/>
        </w:rPr>
      </w:pPr>
    </w:p>
    <w:p w:rsidR="00B428D0" w:rsidRDefault="00B428D0" w:rsidP="000B682F">
      <w:pPr>
        <w:autoSpaceDE w:val="0"/>
        <w:autoSpaceDN w:val="0"/>
        <w:adjustRightInd w:val="0"/>
        <w:spacing w:line="360" w:lineRule="auto"/>
        <w:jc w:val="both"/>
        <w:rPr>
          <w:rFonts w:ascii="Arial" w:hAnsi="Arial" w:cs="Arial"/>
          <w:sz w:val="18"/>
          <w:szCs w:val="18"/>
        </w:rPr>
      </w:pPr>
      <w:r>
        <w:rPr>
          <w:rFonts w:ascii="Arial" w:hAnsi="Arial" w:cs="Arial"/>
          <w:sz w:val="18"/>
          <w:szCs w:val="18"/>
        </w:rPr>
        <w:t xml:space="preserve">ii) Tanto nas configurações puramente hidráulicas quanto nas hidrotérmicas o aumento da regularização implica no aumento do risco de déficit. Tal fato ocorre em razão do crescimento da energia firme frente a energia natural em sucessivos anos refletirá na tendência de aumento do período crítico e no PDEF assosiada a energia firme. A consequência eleva-se na existência de complementação térmica dado que </w:t>
      </w:r>
      <w:r w:rsidR="0044459D">
        <w:rPr>
          <w:rFonts w:ascii="Arial" w:hAnsi="Arial" w:cs="Arial"/>
          <w:sz w:val="18"/>
          <w:szCs w:val="18"/>
        </w:rPr>
        <w:t>um acréscimo de geração térmicas significará o mesmo aumento na capacidade firme</w:t>
      </w:r>
      <w:r>
        <w:rPr>
          <w:rFonts w:ascii="Arial" w:hAnsi="Arial" w:cs="Arial"/>
          <w:sz w:val="18"/>
          <w:szCs w:val="18"/>
        </w:rPr>
        <w:t>.</w:t>
      </w:r>
    </w:p>
    <w:p w:rsidR="00023811" w:rsidRDefault="00023811" w:rsidP="000B682F">
      <w:pPr>
        <w:autoSpaceDE w:val="0"/>
        <w:autoSpaceDN w:val="0"/>
        <w:adjustRightInd w:val="0"/>
        <w:spacing w:line="360" w:lineRule="auto"/>
        <w:jc w:val="both"/>
        <w:rPr>
          <w:rFonts w:ascii="Arial" w:hAnsi="Arial" w:cs="Arial"/>
          <w:sz w:val="18"/>
          <w:szCs w:val="18"/>
        </w:rPr>
      </w:pPr>
    </w:p>
    <w:p w:rsidR="00586F58" w:rsidRDefault="0044459D" w:rsidP="000B682F">
      <w:pPr>
        <w:autoSpaceDE w:val="0"/>
        <w:autoSpaceDN w:val="0"/>
        <w:adjustRightInd w:val="0"/>
        <w:spacing w:line="360" w:lineRule="auto"/>
        <w:jc w:val="both"/>
        <w:rPr>
          <w:sz w:val="18"/>
          <w:szCs w:val="18"/>
        </w:rPr>
      </w:pPr>
      <w:r>
        <w:rPr>
          <w:rFonts w:ascii="Arial" w:hAnsi="Arial" w:cs="Arial"/>
          <w:sz w:val="18"/>
          <w:szCs w:val="18"/>
        </w:rPr>
        <w:lastRenderedPageBreak/>
        <w:t xml:space="preserve">iii) </w:t>
      </w:r>
      <w:r w:rsidR="00023811">
        <w:rPr>
          <w:rFonts w:ascii="Arial" w:hAnsi="Arial" w:cs="Arial"/>
          <w:sz w:val="18"/>
          <w:szCs w:val="18"/>
        </w:rPr>
        <w:t>Os vertimentos esperado</w:t>
      </w:r>
      <w:r w:rsidR="00800C1E">
        <w:rPr>
          <w:rFonts w:ascii="Arial" w:hAnsi="Arial" w:cs="Arial"/>
          <w:sz w:val="18"/>
          <w:szCs w:val="18"/>
        </w:rPr>
        <w:t>s da configuração puramente hidráulica apresenta valores bastante próximos ao indicador ESH/EFH apresentado na Tabela 1</w:t>
      </w:r>
      <w:r w:rsidR="000B682F">
        <w:rPr>
          <w:rFonts w:ascii="Arial" w:hAnsi="Arial" w:cs="Arial"/>
          <w:sz w:val="18"/>
          <w:szCs w:val="18"/>
        </w:rPr>
        <w:t>.</w:t>
      </w:r>
    </w:p>
    <w:p w:rsidR="00586F58" w:rsidRDefault="00586F58" w:rsidP="00586F58">
      <w:pPr>
        <w:autoSpaceDE w:val="0"/>
        <w:autoSpaceDN w:val="0"/>
        <w:adjustRightInd w:val="0"/>
        <w:jc w:val="both"/>
        <w:rPr>
          <w:sz w:val="18"/>
          <w:szCs w:val="18"/>
        </w:rPr>
      </w:pPr>
    </w:p>
    <w:p w:rsidR="000119D8" w:rsidRDefault="000119D8" w:rsidP="00586F58">
      <w:pPr>
        <w:autoSpaceDE w:val="0"/>
        <w:autoSpaceDN w:val="0"/>
        <w:adjustRightInd w:val="0"/>
        <w:jc w:val="both"/>
        <w:rPr>
          <w:rFonts w:ascii="Arial" w:hAnsi="Arial" w:cs="Arial"/>
          <w:sz w:val="18"/>
          <w:szCs w:val="18"/>
        </w:rPr>
      </w:pPr>
      <w:r w:rsidRPr="000119D8">
        <w:rPr>
          <w:rFonts w:ascii="Arial" w:hAnsi="Arial" w:cs="Arial"/>
          <w:sz w:val="18"/>
          <w:szCs w:val="18"/>
        </w:rPr>
        <w:t>3.6 Nível de Risco Adequado</w:t>
      </w:r>
    </w:p>
    <w:p w:rsidR="000119D8" w:rsidRDefault="000119D8" w:rsidP="00586F58">
      <w:pPr>
        <w:autoSpaceDE w:val="0"/>
        <w:autoSpaceDN w:val="0"/>
        <w:adjustRightInd w:val="0"/>
        <w:jc w:val="both"/>
        <w:rPr>
          <w:rFonts w:ascii="Arial" w:hAnsi="Arial" w:cs="Arial"/>
          <w:sz w:val="18"/>
          <w:szCs w:val="18"/>
        </w:rPr>
      </w:pPr>
    </w:p>
    <w:p w:rsidR="00C979B3" w:rsidRDefault="000119D8" w:rsidP="000B682F">
      <w:pPr>
        <w:autoSpaceDE w:val="0"/>
        <w:autoSpaceDN w:val="0"/>
        <w:adjustRightInd w:val="0"/>
        <w:spacing w:line="360" w:lineRule="auto"/>
        <w:jc w:val="both"/>
        <w:rPr>
          <w:rFonts w:ascii="Arial" w:hAnsi="Arial" w:cs="Arial"/>
          <w:sz w:val="18"/>
          <w:szCs w:val="18"/>
        </w:rPr>
      </w:pPr>
      <w:r>
        <w:rPr>
          <w:rFonts w:ascii="Arial" w:hAnsi="Arial" w:cs="Arial"/>
          <w:sz w:val="18"/>
          <w:szCs w:val="18"/>
        </w:rPr>
        <w:t xml:space="preserve">A partir de diversas simulações de configurações estáticas dos sistemas interligados Sul-sudeste/C.Oeste e Norte/Nordeste, com ou sem térmicas, procurou-se verificar qual o risco de déficit se o mercado a ser atendido representa-se </w:t>
      </w:r>
      <w:r w:rsidR="00C979B3">
        <w:rPr>
          <w:rFonts w:ascii="Arial" w:hAnsi="Arial" w:cs="Arial"/>
          <w:sz w:val="18"/>
          <w:szCs w:val="18"/>
        </w:rPr>
        <w:t xml:space="preserve">o firme hidráulico. </w:t>
      </w:r>
      <w:r w:rsidR="00C979B3" w:rsidRPr="00C979B3">
        <w:rPr>
          <w:rFonts w:ascii="Arial" w:hAnsi="Arial" w:cs="Arial"/>
          <w:sz w:val="18"/>
          <w:szCs w:val="18"/>
        </w:rPr>
        <w:t>Isto permitiu calcular o risco anual de déficit correspondente ao critério determinístico</w:t>
      </w:r>
      <w:r w:rsidR="00C979B3">
        <w:rPr>
          <w:rFonts w:ascii="Arial" w:hAnsi="Arial" w:cs="Arial"/>
          <w:sz w:val="18"/>
          <w:szCs w:val="18"/>
        </w:rPr>
        <w:t xml:space="preserve">. </w:t>
      </w:r>
      <w:r w:rsidR="00D26AA4" w:rsidRPr="00D26AA4">
        <w:rPr>
          <w:rFonts w:ascii="Arial" w:hAnsi="Arial" w:cs="Arial"/>
          <w:sz w:val="18"/>
          <w:szCs w:val="18"/>
        </w:rPr>
        <w:t xml:space="preserve">Observou-se que para grande parte das configurações realizadas, o PDEF oscilou em torno de 3% a.a. Entretanto, algumas configurações futuras mostravam valores próximo a 5% a.a e assim resolveu-se relaxar o nível de risco, fixando-o neste valor. Portanto, não existiu nenhum </w:t>
      </w:r>
      <w:r w:rsidR="00D26AA4" w:rsidRPr="00D26AA4">
        <w:rPr>
          <w:rFonts w:ascii="Arial" w:hAnsi="Arial" w:cs="Arial"/>
          <w:b/>
          <w:sz w:val="18"/>
          <w:szCs w:val="18"/>
        </w:rPr>
        <w:t>argumento técnico</w:t>
      </w:r>
      <w:r w:rsidR="00D26AA4" w:rsidRPr="00D26AA4">
        <w:rPr>
          <w:rFonts w:ascii="Arial" w:hAnsi="Arial" w:cs="Arial"/>
          <w:sz w:val="18"/>
          <w:szCs w:val="18"/>
        </w:rPr>
        <w:t xml:space="preserve"> para sua adoção.</w:t>
      </w:r>
      <w:r w:rsidR="000B682F">
        <w:rPr>
          <w:rFonts w:ascii="Arial" w:hAnsi="Arial" w:cs="Arial"/>
          <w:sz w:val="18"/>
          <w:szCs w:val="18"/>
        </w:rPr>
        <w:t xml:space="preserve"> A partir daí até hoje é vá</w:t>
      </w:r>
      <w:r w:rsidR="003239B5">
        <w:rPr>
          <w:rFonts w:ascii="Arial" w:hAnsi="Arial" w:cs="Arial"/>
          <w:sz w:val="18"/>
          <w:szCs w:val="18"/>
        </w:rPr>
        <w:t>lida a seguinte sentença:</w:t>
      </w:r>
    </w:p>
    <w:p w:rsidR="003239B5" w:rsidRDefault="003239B5" w:rsidP="000B682F">
      <w:pPr>
        <w:autoSpaceDE w:val="0"/>
        <w:autoSpaceDN w:val="0"/>
        <w:adjustRightInd w:val="0"/>
        <w:spacing w:line="360" w:lineRule="auto"/>
        <w:jc w:val="both"/>
        <w:rPr>
          <w:rFonts w:ascii="Arial" w:hAnsi="Arial" w:cs="Arial"/>
          <w:sz w:val="18"/>
          <w:szCs w:val="18"/>
        </w:rPr>
      </w:pPr>
      <w:r>
        <w:rPr>
          <w:rFonts w:ascii="Arial" w:hAnsi="Arial" w:cs="Arial"/>
          <w:sz w:val="18"/>
          <w:szCs w:val="18"/>
        </w:rPr>
        <w:t>“Em cada ano do horizonte de planejamento, a probabilidade de déficit de energia não deve ultrapassar o valor de 5% em nenhum dos subsistemas”</w:t>
      </w:r>
    </w:p>
    <w:p w:rsidR="00C979B3" w:rsidRDefault="00D05F0A" w:rsidP="000B682F">
      <w:pPr>
        <w:autoSpaceDE w:val="0"/>
        <w:autoSpaceDN w:val="0"/>
        <w:adjustRightInd w:val="0"/>
        <w:spacing w:line="360" w:lineRule="auto"/>
        <w:jc w:val="both"/>
        <w:rPr>
          <w:rFonts w:ascii="Arial" w:hAnsi="Arial" w:cs="Arial"/>
          <w:sz w:val="18"/>
          <w:szCs w:val="18"/>
        </w:rPr>
      </w:pPr>
      <w:r w:rsidRPr="00D26AA4">
        <w:rPr>
          <w:rFonts w:ascii="Arial" w:hAnsi="Arial" w:cs="Arial"/>
          <w:sz w:val="18"/>
          <w:szCs w:val="18"/>
        </w:rPr>
        <w:t xml:space="preserve">Outro ponto que suscita curiosidade se refere ao intervalo de confiança estabelecido para a convergência da carga crítica que se situa entre (4,8%;5,2%).  Tal resultado é indicado </w:t>
      </w:r>
      <w:r>
        <w:rPr>
          <w:rFonts w:ascii="Arial" w:hAnsi="Arial" w:cs="Arial"/>
          <w:sz w:val="18"/>
          <w:szCs w:val="18"/>
        </w:rPr>
        <w:t>(10</w:t>
      </w:r>
      <w:r w:rsidRPr="00D26AA4">
        <w:rPr>
          <w:rFonts w:ascii="Arial" w:hAnsi="Arial" w:cs="Arial"/>
          <w:sz w:val="18"/>
          <w:szCs w:val="18"/>
        </w:rPr>
        <w:t xml:space="preserve">) e, como no caso anterior, </w:t>
      </w:r>
      <w:r w:rsidRPr="00D26AA4">
        <w:rPr>
          <w:rFonts w:ascii="Arial" w:hAnsi="Arial" w:cs="Arial"/>
          <w:b/>
          <w:sz w:val="18"/>
          <w:szCs w:val="18"/>
        </w:rPr>
        <w:t>não existe</w:t>
      </w:r>
      <w:r w:rsidRPr="00D26AA4">
        <w:rPr>
          <w:rFonts w:ascii="Arial" w:hAnsi="Arial" w:cs="Arial"/>
          <w:sz w:val="18"/>
          <w:szCs w:val="18"/>
        </w:rPr>
        <w:t xml:space="preserve"> uma explicação técnica. Se considerarmos 2000 série sintéticas, o verdadeiro valor do PDEF, considerando um intervalo de confiança de 95%, fica entre (4,04%, 5,96%).</w:t>
      </w:r>
    </w:p>
    <w:p w:rsidR="00D05F0A" w:rsidRDefault="00D05F0A" w:rsidP="00586F58">
      <w:pPr>
        <w:autoSpaceDE w:val="0"/>
        <w:autoSpaceDN w:val="0"/>
        <w:adjustRightInd w:val="0"/>
        <w:jc w:val="both"/>
        <w:rPr>
          <w:rFonts w:ascii="Arial" w:hAnsi="Arial" w:cs="Arial"/>
          <w:sz w:val="18"/>
          <w:szCs w:val="18"/>
        </w:rPr>
      </w:pPr>
    </w:p>
    <w:p w:rsidR="00D05F0A" w:rsidRDefault="00D05F0A" w:rsidP="00586F58">
      <w:pPr>
        <w:autoSpaceDE w:val="0"/>
        <w:autoSpaceDN w:val="0"/>
        <w:adjustRightInd w:val="0"/>
        <w:jc w:val="both"/>
        <w:rPr>
          <w:rFonts w:ascii="Arial" w:hAnsi="Arial" w:cs="Arial"/>
          <w:sz w:val="18"/>
          <w:szCs w:val="18"/>
        </w:rPr>
      </w:pPr>
      <w:r>
        <w:rPr>
          <w:rFonts w:ascii="Arial" w:hAnsi="Arial" w:cs="Arial"/>
          <w:sz w:val="18"/>
          <w:szCs w:val="18"/>
        </w:rPr>
        <w:t xml:space="preserve">3.7 </w:t>
      </w:r>
      <w:r w:rsidR="00197F5C">
        <w:rPr>
          <w:rFonts w:ascii="Arial" w:hAnsi="Arial" w:cs="Arial"/>
          <w:sz w:val="18"/>
          <w:szCs w:val="18"/>
        </w:rPr>
        <w:t>Critério de Rateio de Energia e de Ponta</w:t>
      </w:r>
      <w:r w:rsidR="004C471E">
        <w:rPr>
          <w:rFonts w:ascii="Arial" w:hAnsi="Arial" w:cs="Arial"/>
          <w:sz w:val="18"/>
          <w:szCs w:val="18"/>
        </w:rPr>
        <w:t xml:space="preserve"> – Procedimento GCPS/GCOI</w:t>
      </w:r>
    </w:p>
    <w:p w:rsidR="006F6A27" w:rsidRDefault="006F6A27" w:rsidP="00586F58">
      <w:pPr>
        <w:autoSpaceDE w:val="0"/>
        <w:autoSpaceDN w:val="0"/>
        <w:adjustRightInd w:val="0"/>
        <w:jc w:val="both"/>
        <w:rPr>
          <w:rFonts w:ascii="Arial" w:hAnsi="Arial" w:cs="Arial"/>
          <w:sz w:val="18"/>
          <w:szCs w:val="18"/>
        </w:rPr>
      </w:pPr>
    </w:p>
    <w:p w:rsidR="006F6A27" w:rsidRDefault="006F6A27" w:rsidP="000B682F">
      <w:pPr>
        <w:autoSpaceDE w:val="0"/>
        <w:autoSpaceDN w:val="0"/>
        <w:adjustRightInd w:val="0"/>
        <w:spacing w:line="360" w:lineRule="auto"/>
        <w:jc w:val="both"/>
        <w:rPr>
          <w:rFonts w:ascii="Arial" w:hAnsi="Arial" w:cs="Arial"/>
          <w:sz w:val="18"/>
          <w:szCs w:val="18"/>
        </w:rPr>
      </w:pPr>
      <w:r>
        <w:rPr>
          <w:rFonts w:ascii="Arial" w:hAnsi="Arial" w:cs="Arial"/>
          <w:sz w:val="18"/>
          <w:szCs w:val="18"/>
        </w:rPr>
        <w:t xml:space="preserve">Os debates </w:t>
      </w:r>
      <w:r w:rsidR="00FA2FE7">
        <w:rPr>
          <w:rFonts w:ascii="Arial" w:hAnsi="Arial" w:cs="Arial"/>
          <w:sz w:val="18"/>
          <w:szCs w:val="18"/>
        </w:rPr>
        <w:t>e estudos realizados na</w:t>
      </w:r>
      <w:r>
        <w:rPr>
          <w:rFonts w:ascii="Arial" w:hAnsi="Arial" w:cs="Arial"/>
          <w:sz w:val="18"/>
          <w:szCs w:val="18"/>
        </w:rPr>
        <w:t xml:space="preserve"> década de 1980</w:t>
      </w:r>
      <w:r w:rsidR="00FA2FE7">
        <w:rPr>
          <w:rFonts w:ascii="Arial" w:hAnsi="Arial" w:cs="Arial"/>
          <w:sz w:val="18"/>
          <w:szCs w:val="18"/>
        </w:rPr>
        <w:t xml:space="preserve"> </w:t>
      </w:r>
      <w:r>
        <w:rPr>
          <w:rFonts w:ascii="Arial" w:hAnsi="Arial" w:cs="Arial"/>
          <w:sz w:val="18"/>
          <w:szCs w:val="18"/>
        </w:rPr>
        <w:t xml:space="preserve"> </w:t>
      </w:r>
      <w:r w:rsidR="00FA2FE7">
        <w:rPr>
          <w:rFonts w:ascii="Arial" w:hAnsi="Arial" w:cs="Arial"/>
          <w:sz w:val="18"/>
          <w:szCs w:val="18"/>
        </w:rPr>
        <w:t>a respeito da inadequabilidade do critério tradicional de suprimento de energia e ponta trouxe  a necessidade de</w:t>
      </w:r>
      <w:r w:rsidR="006617D1">
        <w:rPr>
          <w:rFonts w:ascii="Arial" w:hAnsi="Arial" w:cs="Arial"/>
          <w:sz w:val="18"/>
          <w:szCs w:val="18"/>
        </w:rPr>
        <w:t xml:space="preserve"> sua</w:t>
      </w:r>
      <w:r w:rsidR="00FA2FE7">
        <w:rPr>
          <w:rFonts w:ascii="Arial" w:hAnsi="Arial" w:cs="Arial"/>
          <w:sz w:val="18"/>
          <w:szCs w:val="18"/>
        </w:rPr>
        <w:t xml:space="preserve"> substitu</w:t>
      </w:r>
      <w:r w:rsidR="006617D1">
        <w:rPr>
          <w:rFonts w:ascii="Arial" w:hAnsi="Arial" w:cs="Arial"/>
          <w:sz w:val="18"/>
          <w:szCs w:val="18"/>
        </w:rPr>
        <w:t>ição</w:t>
      </w:r>
      <w:r w:rsidR="00FA2FE7">
        <w:rPr>
          <w:rFonts w:ascii="Arial" w:hAnsi="Arial" w:cs="Arial"/>
          <w:sz w:val="18"/>
          <w:szCs w:val="18"/>
        </w:rPr>
        <w:t xml:space="preserve"> por </w:t>
      </w:r>
      <w:r w:rsidR="006617D1">
        <w:rPr>
          <w:rFonts w:ascii="Arial" w:hAnsi="Arial" w:cs="Arial"/>
          <w:sz w:val="18"/>
          <w:szCs w:val="18"/>
        </w:rPr>
        <w:t xml:space="preserve">um </w:t>
      </w:r>
      <w:r w:rsidR="00FA2FE7">
        <w:rPr>
          <w:rFonts w:ascii="Arial" w:hAnsi="Arial" w:cs="Arial"/>
          <w:sz w:val="18"/>
          <w:szCs w:val="18"/>
        </w:rPr>
        <w:t xml:space="preserve">critério  </w:t>
      </w:r>
      <w:r w:rsidR="006617D1">
        <w:rPr>
          <w:rFonts w:ascii="Arial" w:hAnsi="Arial" w:cs="Arial"/>
          <w:sz w:val="18"/>
          <w:szCs w:val="18"/>
        </w:rPr>
        <w:t xml:space="preserve">probabilístico. Para a energia o escolhido, conforme já comentado, foi o método baseado no risco anual de déficit de energia. Já para a ponta, tal como a energia, foi recomendado uma métrica de risco consagrado internacionalmente chamado de </w:t>
      </w:r>
      <w:r w:rsidR="006617D1" w:rsidRPr="006617D1">
        <w:rPr>
          <w:rFonts w:ascii="Arial" w:hAnsi="Arial" w:cs="Arial"/>
          <w:i/>
          <w:sz w:val="18"/>
          <w:szCs w:val="18"/>
        </w:rPr>
        <w:t>Loss of Load Probability – LOLP</w:t>
      </w:r>
      <w:r w:rsidR="006617D1">
        <w:rPr>
          <w:rFonts w:ascii="Arial" w:hAnsi="Arial" w:cs="Arial"/>
          <w:sz w:val="18"/>
          <w:szCs w:val="18"/>
        </w:rPr>
        <w:t xml:space="preserve"> (Probabilidade de Déficit de Potência) como comenta (7). Sendo assim, destacam-se as seguintes definições</w:t>
      </w:r>
      <w:r>
        <w:rPr>
          <w:rFonts w:ascii="Arial" w:hAnsi="Arial" w:cs="Arial"/>
          <w:sz w:val="18"/>
          <w:szCs w:val="18"/>
        </w:rPr>
        <w:t>:</w:t>
      </w:r>
    </w:p>
    <w:p w:rsidR="006F6A27" w:rsidRDefault="006F6A27" w:rsidP="00586F58">
      <w:pPr>
        <w:autoSpaceDE w:val="0"/>
        <w:autoSpaceDN w:val="0"/>
        <w:adjustRightInd w:val="0"/>
        <w:jc w:val="both"/>
        <w:rPr>
          <w:rFonts w:ascii="Arial" w:hAnsi="Arial" w:cs="Arial"/>
          <w:sz w:val="18"/>
          <w:szCs w:val="18"/>
        </w:rPr>
      </w:pPr>
    </w:p>
    <w:p w:rsidR="00FA2FE7" w:rsidRDefault="00FA2FE7" w:rsidP="000B682F">
      <w:pPr>
        <w:numPr>
          <w:ilvl w:val="0"/>
          <w:numId w:val="38"/>
        </w:numPr>
        <w:spacing w:line="360" w:lineRule="auto"/>
        <w:ind w:left="357" w:hanging="357"/>
        <w:jc w:val="both"/>
        <w:rPr>
          <w:rFonts w:ascii="Arial" w:hAnsi="Arial" w:cs="Arial"/>
          <w:sz w:val="18"/>
          <w:szCs w:val="18"/>
        </w:rPr>
      </w:pPr>
      <w:r w:rsidRPr="00FA2FE7">
        <w:rPr>
          <w:rFonts w:ascii="Arial" w:hAnsi="Arial" w:cs="Arial"/>
          <w:sz w:val="18"/>
          <w:szCs w:val="18"/>
        </w:rPr>
        <w:t>Critério de Suprimento de Energia – a probabilidade anual de déficit de energia ou risco anual de déficit de energia do sistema, medida pela freqüência relativa das seqüências hidrológicas que acarretam déficit no ano, não deve exceder a 5% ao ano;</w:t>
      </w:r>
    </w:p>
    <w:p w:rsidR="00FA2FE7" w:rsidRDefault="00FA2FE7" w:rsidP="000B682F">
      <w:pPr>
        <w:spacing w:line="360" w:lineRule="auto"/>
        <w:ind w:left="357"/>
        <w:jc w:val="both"/>
        <w:rPr>
          <w:rFonts w:ascii="Arial" w:hAnsi="Arial" w:cs="Arial"/>
          <w:sz w:val="18"/>
          <w:szCs w:val="18"/>
        </w:rPr>
      </w:pPr>
    </w:p>
    <w:p w:rsidR="00FA2FE7" w:rsidRDefault="00FA2FE7" w:rsidP="000B682F">
      <w:pPr>
        <w:numPr>
          <w:ilvl w:val="0"/>
          <w:numId w:val="38"/>
        </w:numPr>
        <w:spacing w:line="360" w:lineRule="auto"/>
        <w:ind w:left="357" w:hanging="357"/>
        <w:jc w:val="both"/>
        <w:rPr>
          <w:rFonts w:ascii="Arial" w:hAnsi="Arial" w:cs="Arial"/>
          <w:sz w:val="18"/>
          <w:szCs w:val="18"/>
        </w:rPr>
      </w:pPr>
      <w:r w:rsidRPr="00FA2FE7">
        <w:rPr>
          <w:rFonts w:ascii="Arial" w:hAnsi="Arial" w:cs="Arial"/>
          <w:sz w:val="18"/>
          <w:szCs w:val="18"/>
        </w:rPr>
        <w:t>Critério de Suprimento de Potência – a probabilidade de défict de potência, medida por meio do conceito de probabilidade de perda de carga (Loss of Load Probability – LOLP) não deve exceder 5 horas por mês, ou cerca de 0,68%.</w:t>
      </w:r>
    </w:p>
    <w:p w:rsidR="006617D1" w:rsidRDefault="006617D1" w:rsidP="000B682F">
      <w:pPr>
        <w:pStyle w:val="PargrafodaLista"/>
        <w:spacing w:line="360" w:lineRule="auto"/>
        <w:rPr>
          <w:rFonts w:ascii="Arial" w:hAnsi="Arial" w:cs="Arial"/>
          <w:sz w:val="18"/>
          <w:szCs w:val="18"/>
        </w:rPr>
      </w:pPr>
    </w:p>
    <w:p w:rsidR="006617D1" w:rsidRDefault="006617D1" w:rsidP="000B682F">
      <w:pPr>
        <w:spacing w:line="360" w:lineRule="auto"/>
        <w:jc w:val="both"/>
        <w:rPr>
          <w:rFonts w:ascii="Arial" w:hAnsi="Arial" w:cs="Arial"/>
          <w:sz w:val="18"/>
          <w:szCs w:val="18"/>
        </w:rPr>
      </w:pPr>
      <w:r>
        <w:rPr>
          <w:rFonts w:ascii="Arial" w:hAnsi="Arial" w:cs="Arial"/>
          <w:sz w:val="18"/>
          <w:szCs w:val="18"/>
        </w:rPr>
        <w:t>No tocante a ferramenta computacional</w:t>
      </w:r>
      <w:r w:rsidR="003A5F32">
        <w:rPr>
          <w:rFonts w:ascii="Arial" w:hAnsi="Arial" w:cs="Arial"/>
          <w:sz w:val="18"/>
          <w:szCs w:val="18"/>
        </w:rPr>
        <w:t xml:space="preserve"> é utilizada a programação estocástica</w:t>
      </w:r>
      <w:r w:rsidR="00873B9B">
        <w:rPr>
          <w:rFonts w:ascii="Arial" w:hAnsi="Arial" w:cs="Arial"/>
          <w:sz w:val="18"/>
          <w:szCs w:val="18"/>
        </w:rPr>
        <w:t xml:space="preserve">. Isto possibilitou </w:t>
      </w:r>
      <w:r w:rsidR="003A5F32">
        <w:rPr>
          <w:rFonts w:ascii="Arial" w:hAnsi="Arial" w:cs="Arial"/>
          <w:sz w:val="18"/>
          <w:szCs w:val="18"/>
        </w:rPr>
        <w:t>a substituição das curvas guias por tabelas de decisão.</w:t>
      </w:r>
      <w:r w:rsidR="00873B9B">
        <w:rPr>
          <w:rFonts w:ascii="Arial" w:hAnsi="Arial" w:cs="Arial"/>
          <w:sz w:val="18"/>
          <w:szCs w:val="18"/>
        </w:rPr>
        <w:t xml:space="preserve"> Estas obri</w:t>
      </w:r>
      <w:r w:rsidR="00C30328">
        <w:rPr>
          <w:rFonts w:ascii="Arial" w:hAnsi="Arial" w:cs="Arial"/>
          <w:sz w:val="18"/>
          <w:szCs w:val="18"/>
        </w:rPr>
        <w:t>gam que</w:t>
      </w:r>
      <w:r w:rsidR="00873B9B">
        <w:rPr>
          <w:rFonts w:ascii="Arial" w:hAnsi="Arial" w:cs="Arial"/>
          <w:sz w:val="18"/>
          <w:szCs w:val="18"/>
        </w:rPr>
        <w:t xml:space="preserve"> o modelo a sistema equivalente utilizado não apenas se preocupe com o estado inicial do sistema como também com seu estado final. Este deverá ser representado por um período</w:t>
      </w:r>
      <w:r w:rsidR="00B767EE">
        <w:rPr>
          <w:rFonts w:ascii="Arial" w:hAnsi="Arial" w:cs="Arial"/>
          <w:sz w:val="18"/>
          <w:szCs w:val="18"/>
        </w:rPr>
        <w:t xml:space="preserve"> </w:t>
      </w:r>
      <w:r w:rsidR="00873B9B">
        <w:rPr>
          <w:rFonts w:ascii="Arial" w:hAnsi="Arial" w:cs="Arial"/>
          <w:sz w:val="18"/>
          <w:szCs w:val="18"/>
        </w:rPr>
        <w:t>de 5 anos.</w:t>
      </w:r>
    </w:p>
    <w:p w:rsidR="00B767EE" w:rsidRDefault="00B767EE" w:rsidP="000B682F">
      <w:pPr>
        <w:spacing w:line="360" w:lineRule="auto"/>
        <w:jc w:val="both"/>
        <w:rPr>
          <w:rFonts w:ascii="Arial" w:hAnsi="Arial" w:cs="Arial"/>
          <w:sz w:val="18"/>
          <w:szCs w:val="18"/>
        </w:rPr>
      </w:pPr>
    </w:p>
    <w:p w:rsidR="00B767EE" w:rsidRDefault="004303CE" w:rsidP="000B682F">
      <w:pPr>
        <w:spacing w:line="360" w:lineRule="auto"/>
        <w:jc w:val="both"/>
        <w:rPr>
          <w:rFonts w:ascii="Arial" w:hAnsi="Arial" w:cs="Arial"/>
          <w:sz w:val="18"/>
          <w:szCs w:val="18"/>
        </w:rPr>
      </w:pPr>
      <w:r>
        <w:rPr>
          <w:rFonts w:ascii="Arial" w:hAnsi="Arial" w:cs="Arial"/>
          <w:sz w:val="18"/>
          <w:szCs w:val="18"/>
        </w:rPr>
        <w:t>No final da década de 1980 não havia um critério definiti</w:t>
      </w:r>
      <w:r w:rsidR="00F50E08">
        <w:rPr>
          <w:rFonts w:ascii="Arial" w:hAnsi="Arial" w:cs="Arial"/>
          <w:sz w:val="18"/>
          <w:szCs w:val="18"/>
        </w:rPr>
        <w:t>vo para a garantia de suprimento</w:t>
      </w:r>
      <w:r w:rsidR="00FA4441">
        <w:rPr>
          <w:rFonts w:ascii="Arial" w:hAnsi="Arial" w:cs="Arial"/>
          <w:sz w:val="18"/>
          <w:szCs w:val="18"/>
        </w:rPr>
        <w:t xml:space="preserve"> e a forma de alocar a oferta de energia entre o geradores, bem como a totalização por empresa</w:t>
      </w:r>
      <w:r>
        <w:rPr>
          <w:rFonts w:ascii="Arial" w:hAnsi="Arial" w:cs="Arial"/>
          <w:sz w:val="18"/>
          <w:szCs w:val="18"/>
        </w:rPr>
        <w:t xml:space="preserve">. </w:t>
      </w:r>
      <w:r w:rsidR="00C30328">
        <w:rPr>
          <w:rFonts w:ascii="Arial" w:hAnsi="Arial" w:cs="Arial"/>
          <w:sz w:val="18"/>
          <w:szCs w:val="18"/>
        </w:rPr>
        <w:t xml:space="preserve">Além da ausência de um acordo com </w:t>
      </w:r>
      <w:r w:rsidR="00C30328">
        <w:rPr>
          <w:rFonts w:ascii="Arial" w:hAnsi="Arial" w:cs="Arial"/>
          <w:sz w:val="18"/>
          <w:szCs w:val="18"/>
        </w:rPr>
        <w:lastRenderedPageBreak/>
        <w:t xml:space="preserve">o GCOI </w:t>
      </w:r>
      <w:r>
        <w:rPr>
          <w:rFonts w:ascii="Arial" w:hAnsi="Arial" w:cs="Arial"/>
          <w:sz w:val="18"/>
          <w:szCs w:val="18"/>
        </w:rPr>
        <w:t>sobre o assunto</w:t>
      </w:r>
      <w:r w:rsidR="00C30328">
        <w:rPr>
          <w:rFonts w:ascii="Arial" w:hAnsi="Arial" w:cs="Arial"/>
          <w:sz w:val="18"/>
          <w:szCs w:val="18"/>
        </w:rPr>
        <w:t xml:space="preserve">, </w:t>
      </w:r>
      <w:r w:rsidR="00F50E08">
        <w:rPr>
          <w:rFonts w:ascii="Arial" w:hAnsi="Arial" w:cs="Arial"/>
          <w:sz w:val="18"/>
          <w:szCs w:val="18"/>
        </w:rPr>
        <w:t xml:space="preserve">os integrantes do PGEE </w:t>
      </w:r>
      <w:r w:rsidR="00C30328">
        <w:rPr>
          <w:rFonts w:ascii="Arial" w:hAnsi="Arial" w:cs="Arial"/>
          <w:sz w:val="18"/>
          <w:szCs w:val="18"/>
        </w:rPr>
        <w:t>n</w:t>
      </w:r>
      <w:r w:rsidR="00F50E08">
        <w:rPr>
          <w:rFonts w:ascii="Arial" w:hAnsi="Arial" w:cs="Arial"/>
          <w:sz w:val="18"/>
          <w:szCs w:val="18"/>
        </w:rPr>
        <w:t>ão tinha chegado a um consenso</w:t>
      </w:r>
      <w:r w:rsidR="00C30328">
        <w:rPr>
          <w:rFonts w:ascii="Arial" w:hAnsi="Arial" w:cs="Arial"/>
          <w:sz w:val="18"/>
          <w:szCs w:val="18"/>
        </w:rPr>
        <w:t xml:space="preserve">. Diante desses fatos, </w:t>
      </w:r>
      <w:r w:rsidR="00F50E08">
        <w:rPr>
          <w:rFonts w:ascii="Arial" w:hAnsi="Arial" w:cs="Arial"/>
          <w:sz w:val="18"/>
          <w:szCs w:val="18"/>
        </w:rPr>
        <w:t>o GCPS elaborou um parecer recomendando um critério provisório para</w:t>
      </w:r>
      <w:r w:rsidR="00197F5C">
        <w:rPr>
          <w:rFonts w:ascii="Arial" w:hAnsi="Arial" w:cs="Arial"/>
          <w:sz w:val="18"/>
          <w:szCs w:val="18"/>
        </w:rPr>
        <w:t xml:space="preserve"> garantia de suprimento e ratei</w:t>
      </w:r>
      <w:r w:rsidR="00F50E08">
        <w:rPr>
          <w:rFonts w:ascii="Arial" w:hAnsi="Arial" w:cs="Arial"/>
          <w:sz w:val="18"/>
          <w:szCs w:val="18"/>
        </w:rPr>
        <w:t>o da energia e da potência (11)</w:t>
      </w:r>
      <w:r w:rsidR="00FA4441">
        <w:rPr>
          <w:rFonts w:ascii="Arial" w:hAnsi="Arial" w:cs="Arial"/>
          <w:sz w:val="18"/>
          <w:szCs w:val="18"/>
        </w:rPr>
        <w:t xml:space="preserve">. </w:t>
      </w:r>
      <w:r w:rsidR="00A91983">
        <w:rPr>
          <w:rFonts w:ascii="Arial" w:hAnsi="Arial" w:cs="Arial"/>
          <w:sz w:val="18"/>
          <w:szCs w:val="18"/>
        </w:rPr>
        <w:t>Nesta seç</w:t>
      </w:r>
      <w:r w:rsidR="00197F5C">
        <w:rPr>
          <w:rFonts w:ascii="Arial" w:hAnsi="Arial" w:cs="Arial"/>
          <w:sz w:val="18"/>
          <w:szCs w:val="18"/>
        </w:rPr>
        <w:t xml:space="preserve">ão </w:t>
      </w:r>
      <w:r w:rsidR="00A91983">
        <w:rPr>
          <w:rFonts w:ascii="Arial" w:hAnsi="Arial" w:cs="Arial"/>
          <w:sz w:val="18"/>
          <w:szCs w:val="18"/>
        </w:rPr>
        <w:t>são apresentadas apenas a</w:t>
      </w:r>
      <w:r w:rsidR="00FA4441">
        <w:rPr>
          <w:rFonts w:ascii="Arial" w:hAnsi="Arial" w:cs="Arial"/>
          <w:sz w:val="18"/>
          <w:szCs w:val="18"/>
        </w:rPr>
        <w:t xml:space="preserve">s etapas </w:t>
      </w:r>
      <w:r w:rsidR="00A91983">
        <w:rPr>
          <w:rFonts w:ascii="Arial" w:hAnsi="Arial" w:cs="Arial"/>
          <w:sz w:val="18"/>
          <w:szCs w:val="18"/>
        </w:rPr>
        <w:t xml:space="preserve">concernentes ao rateio de energia o quais coincidem </w:t>
      </w:r>
      <w:r w:rsidR="00FA4441">
        <w:rPr>
          <w:rFonts w:ascii="Arial" w:hAnsi="Arial" w:cs="Arial"/>
          <w:sz w:val="18"/>
          <w:szCs w:val="18"/>
        </w:rPr>
        <w:t>co</w:t>
      </w:r>
      <w:r w:rsidR="004C471E">
        <w:rPr>
          <w:rFonts w:ascii="Arial" w:hAnsi="Arial" w:cs="Arial"/>
          <w:sz w:val="18"/>
          <w:szCs w:val="18"/>
        </w:rPr>
        <w:t>m o estabelecido pelo GCOI (12), quais sejam:</w:t>
      </w:r>
    </w:p>
    <w:p w:rsidR="004C471E" w:rsidRDefault="006A42BA" w:rsidP="006A42BA">
      <w:pPr>
        <w:tabs>
          <w:tab w:val="left" w:pos="3336"/>
        </w:tabs>
        <w:jc w:val="both"/>
        <w:rPr>
          <w:rFonts w:ascii="Arial" w:hAnsi="Arial" w:cs="Arial"/>
          <w:sz w:val="18"/>
          <w:szCs w:val="18"/>
        </w:rPr>
      </w:pPr>
      <w:r>
        <w:rPr>
          <w:rFonts w:ascii="Arial" w:hAnsi="Arial" w:cs="Arial"/>
          <w:sz w:val="18"/>
          <w:szCs w:val="18"/>
        </w:rPr>
        <w:tab/>
        <w:t xml:space="preserve"> </w:t>
      </w:r>
    </w:p>
    <w:p w:rsidR="006A42BA" w:rsidRDefault="006A42BA" w:rsidP="006617D1">
      <w:pPr>
        <w:jc w:val="both"/>
        <w:rPr>
          <w:rFonts w:ascii="Arial" w:hAnsi="Arial" w:cs="Arial"/>
          <w:sz w:val="18"/>
          <w:szCs w:val="18"/>
        </w:rPr>
      </w:pPr>
      <w:r>
        <w:rPr>
          <w:rFonts w:ascii="Arial" w:hAnsi="Arial" w:cs="Arial"/>
          <w:sz w:val="18"/>
          <w:szCs w:val="18"/>
        </w:rPr>
        <w:t>3.7.1 Cálculo da Oferta de Energia</w:t>
      </w:r>
    </w:p>
    <w:p w:rsidR="006A42BA" w:rsidRDefault="006A42BA" w:rsidP="006617D1">
      <w:pPr>
        <w:jc w:val="both"/>
        <w:rPr>
          <w:rFonts w:ascii="Arial" w:hAnsi="Arial" w:cs="Arial"/>
          <w:sz w:val="18"/>
          <w:szCs w:val="18"/>
        </w:rPr>
      </w:pPr>
    </w:p>
    <w:p w:rsidR="006A42BA" w:rsidRDefault="00FD4474" w:rsidP="000B682F">
      <w:pPr>
        <w:spacing w:line="360" w:lineRule="auto"/>
        <w:jc w:val="both"/>
        <w:rPr>
          <w:rFonts w:ascii="Arial" w:hAnsi="Arial" w:cs="Arial"/>
          <w:sz w:val="18"/>
          <w:szCs w:val="18"/>
        </w:rPr>
      </w:pPr>
      <w:r>
        <w:rPr>
          <w:rFonts w:ascii="Arial" w:hAnsi="Arial" w:cs="Arial"/>
          <w:sz w:val="18"/>
          <w:szCs w:val="18"/>
        </w:rPr>
        <w:t>A determinação da  oferta de energia é feita dentro do método baseado na pré-fixação  de risco anual de déficit  que, conforme comentado, não deve ser superior a 5% a.a. em todos os subsistemas de energia. Nas simulaç</w:t>
      </w:r>
      <w:r w:rsidR="00831930">
        <w:rPr>
          <w:rFonts w:ascii="Arial" w:hAnsi="Arial" w:cs="Arial"/>
          <w:sz w:val="18"/>
          <w:szCs w:val="18"/>
        </w:rPr>
        <w:t>ões adota-se modelos a sub-sistemas equivalente, utilizando 2000 séries sintéticas de energias afluentes.. Além do plano de expansão da geração previsto também são levados em conta os limites de intercâmbio de energia entre subsistemas. A operação das usinas termoelétricas são feitas de forma econômica e suas decisões calculadas por meio de programação dinâmica estocástica.</w:t>
      </w:r>
      <w:r w:rsidR="00CB466F">
        <w:rPr>
          <w:rFonts w:ascii="Arial" w:hAnsi="Arial" w:cs="Arial"/>
          <w:sz w:val="18"/>
          <w:szCs w:val="18"/>
        </w:rPr>
        <w:t xml:space="preserve"> Os intercâmbios de energia entre os subsistemas são baseados pelos respectivos custos marginais de operação. O cálculo das decisões tanto de despacho de térmicas quanto de intercâmbio de energia é utilizado o valor do custo implícito de déficit (cf. </w:t>
      </w:r>
      <w:r w:rsidR="003F1E7E">
        <w:rPr>
          <w:rFonts w:ascii="Arial" w:hAnsi="Arial" w:cs="Arial"/>
          <w:sz w:val="18"/>
          <w:szCs w:val="18"/>
        </w:rPr>
        <w:t>4</w:t>
      </w:r>
      <w:r w:rsidR="00CB466F">
        <w:rPr>
          <w:rFonts w:ascii="Arial" w:hAnsi="Arial" w:cs="Arial"/>
          <w:sz w:val="18"/>
          <w:szCs w:val="18"/>
        </w:rPr>
        <w:t xml:space="preserve">). No tocante </w:t>
      </w:r>
      <w:r w:rsidR="003470CC">
        <w:rPr>
          <w:rFonts w:ascii="Arial" w:hAnsi="Arial" w:cs="Arial"/>
          <w:sz w:val="18"/>
          <w:szCs w:val="18"/>
        </w:rPr>
        <w:t>d</w:t>
      </w:r>
      <w:r w:rsidR="00CB466F">
        <w:rPr>
          <w:rFonts w:ascii="Arial" w:hAnsi="Arial" w:cs="Arial"/>
          <w:sz w:val="18"/>
          <w:szCs w:val="18"/>
        </w:rPr>
        <w:t>as cargas</w:t>
      </w:r>
      <w:r w:rsidR="003470CC">
        <w:rPr>
          <w:rFonts w:ascii="Arial" w:hAnsi="Arial" w:cs="Arial"/>
          <w:sz w:val="18"/>
          <w:szCs w:val="18"/>
        </w:rPr>
        <w:t xml:space="preserve"> testadas no processo iterativo devem as mesmas manterem a proporcionalidade entre as projeções de mercado dos subsistemas em todo o horizonte de planejamento</w:t>
      </w:r>
      <w:r w:rsidR="003F1E7E">
        <w:rPr>
          <w:rFonts w:ascii="Arial" w:hAnsi="Arial" w:cs="Arial"/>
          <w:sz w:val="18"/>
          <w:szCs w:val="18"/>
        </w:rPr>
        <w:t>. Por fim, para amortecer a infl</w:t>
      </w:r>
      <w:r w:rsidR="003470CC">
        <w:rPr>
          <w:rFonts w:ascii="Arial" w:hAnsi="Arial" w:cs="Arial"/>
          <w:sz w:val="18"/>
          <w:szCs w:val="18"/>
        </w:rPr>
        <w:t>uência dos estados iniciais dos subsistemas é incluído um período estático de 10 anos. Além disso, para garantir a estabilidade das tabelas de decisão adota-se um estático final de 5 anos.</w:t>
      </w:r>
    </w:p>
    <w:p w:rsidR="003470CC" w:rsidRDefault="003470CC" w:rsidP="006617D1">
      <w:pPr>
        <w:jc w:val="both"/>
        <w:rPr>
          <w:rFonts w:ascii="Arial" w:hAnsi="Arial" w:cs="Arial"/>
          <w:sz w:val="18"/>
          <w:szCs w:val="18"/>
        </w:rPr>
      </w:pPr>
    </w:p>
    <w:p w:rsidR="003470CC" w:rsidRPr="00FA2FE7" w:rsidRDefault="003470CC" w:rsidP="006617D1">
      <w:pPr>
        <w:jc w:val="both"/>
        <w:rPr>
          <w:rFonts w:ascii="Arial" w:hAnsi="Arial" w:cs="Arial"/>
          <w:sz w:val="18"/>
          <w:szCs w:val="18"/>
        </w:rPr>
      </w:pPr>
      <w:r>
        <w:rPr>
          <w:rFonts w:ascii="Arial" w:hAnsi="Arial" w:cs="Arial"/>
          <w:sz w:val="18"/>
          <w:szCs w:val="18"/>
        </w:rPr>
        <w:t>3.7.2 Rateio entre subsistemas</w:t>
      </w:r>
    </w:p>
    <w:p w:rsidR="003239B5" w:rsidRDefault="003239B5" w:rsidP="00586F58">
      <w:pPr>
        <w:autoSpaceDE w:val="0"/>
        <w:autoSpaceDN w:val="0"/>
        <w:adjustRightInd w:val="0"/>
        <w:jc w:val="both"/>
        <w:rPr>
          <w:rFonts w:ascii="Arial" w:hAnsi="Arial" w:cs="Arial"/>
          <w:sz w:val="18"/>
          <w:szCs w:val="18"/>
        </w:rPr>
      </w:pPr>
    </w:p>
    <w:p w:rsidR="003239B5" w:rsidRDefault="003470CC" w:rsidP="00586F58">
      <w:pPr>
        <w:autoSpaceDE w:val="0"/>
        <w:autoSpaceDN w:val="0"/>
        <w:adjustRightInd w:val="0"/>
        <w:jc w:val="both"/>
        <w:rPr>
          <w:rFonts w:ascii="Arial" w:hAnsi="Arial" w:cs="Arial"/>
          <w:sz w:val="18"/>
          <w:szCs w:val="18"/>
        </w:rPr>
      </w:pPr>
      <w:r>
        <w:rPr>
          <w:rFonts w:ascii="Arial" w:hAnsi="Arial" w:cs="Arial"/>
          <w:sz w:val="18"/>
          <w:szCs w:val="18"/>
        </w:rPr>
        <w:t>Nesta etapa pondera-se a energia fornecida por um subsistema pelo custo marginal médio dos sistemas recebedores.</w:t>
      </w:r>
    </w:p>
    <w:p w:rsidR="0013594F" w:rsidRDefault="0013594F" w:rsidP="00586F58">
      <w:pPr>
        <w:autoSpaceDE w:val="0"/>
        <w:autoSpaceDN w:val="0"/>
        <w:adjustRightInd w:val="0"/>
        <w:jc w:val="both"/>
        <w:rPr>
          <w:rFonts w:ascii="Arial" w:hAnsi="Arial" w:cs="Arial"/>
          <w:sz w:val="18"/>
          <w:szCs w:val="18"/>
        </w:rPr>
      </w:pPr>
    </w:p>
    <w:p w:rsidR="0013594F" w:rsidRDefault="0013594F" w:rsidP="00586F58">
      <w:pPr>
        <w:autoSpaceDE w:val="0"/>
        <w:autoSpaceDN w:val="0"/>
        <w:adjustRightInd w:val="0"/>
        <w:jc w:val="both"/>
        <w:rPr>
          <w:rFonts w:ascii="Arial" w:hAnsi="Arial" w:cs="Arial"/>
          <w:sz w:val="18"/>
          <w:szCs w:val="18"/>
        </w:rPr>
      </w:pPr>
      <w:r w:rsidRPr="005C3656">
        <w:rPr>
          <w:position w:val="-52"/>
          <w:sz w:val="22"/>
          <w:szCs w:val="22"/>
        </w:rPr>
        <w:object w:dxaOrig="2140" w:dyaOrig="1140">
          <v:shape id="_x0000_i1029" type="#_x0000_t75" style="width:139.2pt;height:57pt" o:ole="">
            <v:imagedata r:id="rId22" o:title=""/>
          </v:shape>
          <o:OLEObject Type="Embed" ProgID="Equation.3" ShapeID="_x0000_i1029" DrawAspect="Content" ObjectID="_1627418309" r:id="rId23"/>
        </w:object>
      </w:r>
    </w:p>
    <w:p w:rsidR="0013594F" w:rsidRPr="009F28E9" w:rsidRDefault="000119D8" w:rsidP="0013594F">
      <w:pPr>
        <w:spacing w:before="120" w:after="120"/>
        <w:jc w:val="both"/>
        <w:rPr>
          <w:rFonts w:ascii="Arial" w:hAnsi="Arial" w:cs="Arial"/>
          <w:sz w:val="18"/>
          <w:szCs w:val="18"/>
        </w:rPr>
      </w:pPr>
      <w:r>
        <w:rPr>
          <w:rFonts w:ascii="Arial" w:hAnsi="Arial" w:cs="Arial"/>
          <w:sz w:val="18"/>
          <w:szCs w:val="18"/>
        </w:rPr>
        <w:t xml:space="preserve"> </w:t>
      </w:r>
      <w:r w:rsidR="0013594F" w:rsidRPr="009F28E9">
        <w:rPr>
          <w:rFonts w:ascii="Arial" w:hAnsi="Arial" w:cs="Arial"/>
          <w:sz w:val="18"/>
          <w:szCs w:val="18"/>
        </w:rPr>
        <w:t>onde:</w:t>
      </w:r>
    </w:p>
    <w:p w:rsidR="0013594F" w:rsidRPr="009F28E9" w:rsidRDefault="0013594F" w:rsidP="0013594F">
      <w:pPr>
        <w:spacing w:before="120" w:after="120"/>
        <w:jc w:val="both"/>
        <w:rPr>
          <w:rFonts w:ascii="Arial" w:hAnsi="Arial" w:cs="Arial"/>
          <w:sz w:val="18"/>
          <w:szCs w:val="18"/>
        </w:rPr>
      </w:pPr>
      <w:r w:rsidRPr="009F28E9">
        <w:rPr>
          <w:rFonts w:ascii="Arial" w:hAnsi="Arial" w:cs="Arial"/>
          <w:sz w:val="18"/>
          <w:szCs w:val="18"/>
        </w:rPr>
        <w:t>IEP</w:t>
      </w:r>
      <w:r w:rsidRPr="009F28E9">
        <w:rPr>
          <w:rFonts w:ascii="Arial" w:hAnsi="Arial" w:cs="Arial"/>
          <w:sz w:val="18"/>
          <w:szCs w:val="18"/>
          <w:vertAlign w:val="subscript"/>
        </w:rPr>
        <w:t>i</w:t>
      </w:r>
      <w:r w:rsidRPr="009F28E9">
        <w:rPr>
          <w:rFonts w:ascii="Arial" w:hAnsi="Arial" w:cs="Arial"/>
          <w:sz w:val="18"/>
          <w:szCs w:val="18"/>
        </w:rPr>
        <w:t xml:space="preserve"> – intercâmbio esperado ponderado recebido pelo subsistema i no ano t;</w:t>
      </w:r>
    </w:p>
    <w:p w:rsidR="0013594F" w:rsidRPr="009F28E9" w:rsidRDefault="0013594F" w:rsidP="0013594F">
      <w:pPr>
        <w:spacing w:before="120" w:after="120"/>
        <w:jc w:val="both"/>
        <w:rPr>
          <w:rFonts w:ascii="Arial" w:hAnsi="Arial" w:cs="Arial"/>
          <w:sz w:val="18"/>
          <w:szCs w:val="18"/>
        </w:rPr>
      </w:pPr>
      <w:r w:rsidRPr="009F28E9">
        <w:rPr>
          <w:rFonts w:ascii="Arial" w:hAnsi="Arial" w:cs="Arial"/>
          <w:sz w:val="18"/>
          <w:szCs w:val="18"/>
        </w:rPr>
        <w:t>I</w:t>
      </w:r>
      <w:r w:rsidRPr="009F28E9">
        <w:rPr>
          <w:rFonts w:ascii="Arial" w:hAnsi="Arial" w:cs="Arial"/>
          <w:sz w:val="18"/>
          <w:szCs w:val="18"/>
          <w:vertAlign w:val="subscript"/>
        </w:rPr>
        <w:t>ijkt</w:t>
      </w:r>
      <w:r w:rsidRPr="009F28E9">
        <w:rPr>
          <w:rFonts w:ascii="Arial" w:hAnsi="Arial" w:cs="Arial"/>
          <w:sz w:val="18"/>
          <w:szCs w:val="18"/>
        </w:rPr>
        <w:t xml:space="preserve">   - intercâmbio recebido pelo subsistema i, no mês j, série k e ano t;</w:t>
      </w:r>
    </w:p>
    <w:p w:rsidR="0013594F" w:rsidRPr="009F28E9" w:rsidRDefault="0013594F" w:rsidP="0013594F">
      <w:pPr>
        <w:spacing w:before="120" w:after="120"/>
        <w:jc w:val="both"/>
        <w:rPr>
          <w:rFonts w:ascii="Arial" w:hAnsi="Arial" w:cs="Arial"/>
          <w:sz w:val="18"/>
          <w:szCs w:val="18"/>
        </w:rPr>
      </w:pPr>
      <w:r w:rsidRPr="009F28E9">
        <w:rPr>
          <w:rFonts w:ascii="Arial" w:hAnsi="Arial" w:cs="Arial"/>
          <w:sz w:val="18"/>
          <w:szCs w:val="18"/>
        </w:rPr>
        <w:t>CM</w:t>
      </w:r>
      <w:r w:rsidRPr="009F28E9">
        <w:rPr>
          <w:rFonts w:ascii="Arial" w:hAnsi="Arial" w:cs="Arial"/>
          <w:sz w:val="18"/>
          <w:szCs w:val="18"/>
          <w:vertAlign w:val="subscript"/>
        </w:rPr>
        <w:t>jk</w:t>
      </w:r>
      <w:r w:rsidRPr="009F28E9">
        <w:rPr>
          <w:rFonts w:ascii="Arial" w:hAnsi="Arial" w:cs="Arial"/>
          <w:sz w:val="18"/>
          <w:szCs w:val="18"/>
        </w:rPr>
        <w:t xml:space="preserve"> – custo marginal médio dos subsistemas recebedores, o mês j, série k e ano t</w:t>
      </w:r>
      <w:r w:rsidR="003F5CDC" w:rsidRPr="009F28E9">
        <w:rPr>
          <w:rFonts w:ascii="Arial" w:hAnsi="Arial" w:cs="Arial"/>
          <w:sz w:val="18"/>
          <w:szCs w:val="18"/>
        </w:rPr>
        <w:t xml:space="preserve">. Seu cálculo é feito de acordo com </w:t>
      </w:r>
      <w:r w:rsidRPr="009F28E9">
        <w:rPr>
          <w:rFonts w:ascii="Arial" w:hAnsi="Arial" w:cs="Arial"/>
          <w:sz w:val="18"/>
          <w:szCs w:val="18"/>
        </w:rPr>
        <w:t>;</w:t>
      </w:r>
    </w:p>
    <w:p w:rsidR="0013594F" w:rsidRPr="009F28E9" w:rsidRDefault="0013594F" w:rsidP="0013594F">
      <w:pPr>
        <w:spacing w:before="120" w:after="120"/>
        <w:jc w:val="both"/>
        <w:rPr>
          <w:rFonts w:ascii="Arial" w:hAnsi="Arial" w:cs="Arial"/>
          <w:sz w:val="18"/>
          <w:szCs w:val="18"/>
        </w:rPr>
      </w:pPr>
      <w:r w:rsidRPr="009F28E9">
        <w:rPr>
          <w:rFonts w:ascii="Arial" w:hAnsi="Arial" w:cs="Arial"/>
          <w:sz w:val="18"/>
          <w:szCs w:val="18"/>
        </w:rPr>
        <w:t>n – número de série sintéticas simuladas.</w:t>
      </w:r>
    </w:p>
    <w:p w:rsidR="0013594F" w:rsidRPr="009F28E9" w:rsidRDefault="0013594F" w:rsidP="0013594F">
      <w:pPr>
        <w:spacing w:before="120" w:after="120"/>
        <w:jc w:val="both"/>
        <w:rPr>
          <w:rFonts w:ascii="Arial" w:hAnsi="Arial" w:cs="Arial"/>
          <w:sz w:val="18"/>
          <w:szCs w:val="18"/>
        </w:rPr>
      </w:pPr>
      <w:r w:rsidRPr="009F28E9">
        <w:rPr>
          <w:rFonts w:ascii="Arial" w:hAnsi="Arial" w:cs="Arial"/>
          <w:sz w:val="18"/>
          <w:szCs w:val="18"/>
        </w:rPr>
        <w:t>Com relação ao CM</w:t>
      </w:r>
      <w:r w:rsidRPr="009F28E9">
        <w:rPr>
          <w:rFonts w:ascii="Arial" w:hAnsi="Arial" w:cs="Arial"/>
          <w:sz w:val="18"/>
          <w:szCs w:val="18"/>
          <w:vertAlign w:val="subscript"/>
        </w:rPr>
        <w:t>jk</w:t>
      </w:r>
      <w:r w:rsidRPr="009F28E9">
        <w:rPr>
          <w:rFonts w:ascii="Arial" w:hAnsi="Arial" w:cs="Arial"/>
          <w:sz w:val="18"/>
          <w:szCs w:val="18"/>
        </w:rPr>
        <w:t xml:space="preserve"> sua expressão pode ser sintetizada por:</w:t>
      </w:r>
    </w:p>
    <w:p w:rsidR="0013594F" w:rsidRPr="008B6A66" w:rsidRDefault="0013594F" w:rsidP="0013594F">
      <w:pPr>
        <w:rPr>
          <w:sz w:val="22"/>
          <w:szCs w:val="22"/>
        </w:rPr>
      </w:pPr>
    </w:p>
    <w:p w:rsidR="0013594F" w:rsidRPr="008B6A66" w:rsidRDefault="0013594F" w:rsidP="0013594F">
      <w:pPr>
        <w:rPr>
          <w:sz w:val="22"/>
          <w:szCs w:val="22"/>
        </w:rPr>
      </w:pPr>
      <w:r w:rsidRPr="005C3656">
        <w:rPr>
          <w:position w:val="-40"/>
          <w:sz w:val="22"/>
          <w:szCs w:val="22"/>
        </w:rPr>
        <w:object w:dxaOrig="2200" w:dyaOrig="920">
          <v:shape id="_x0000_i1030" type="#_x0000_t75" style="width:110.4pt;height:46.2pt" o:ole="">
            <v:imagedata r:id="rId24" o:title=""/>
          </v:shape>
          <o:OLEObject Type="Embed" ProgID="Equation.3" ShapeID="_x0000_i1030" DrawAspect="Content" ObjectID="_1627418310" r:id="rId25"/>
        </w:object>
      </w:r>
    </w:p>
    <w:p w:rsidR="0013594F" w:rsidRPr="008B6A66" w:rsidRDefault="0013594F" w:rsidP="0013594F">
      <w:pPr>
        <w:rPr>
          <w:sz w:val="22"/>
          <w:szCs w:val="22"/>
        </w:rPr>
      </w:pPr>
    </w:p>
    <w:p w:rsidR="0013594F" w:rsidRPr="009F28E9" w:rsidRDefault="0013594F" w:rsidP="0013594F">
      <w:pPr>
        <w:spacing w:before="120" w:after="120"/>
        <w:rPr>
          <w:rFonts w:ascii="Arial" w:hAnsi="Arial" w:cs="Arial"/>
          <w:sz w:val="18"/>
          <w:szCs w:val="18"/>
        </w:rPr>
      </w:pPr>
      <w:r w:rsidRPr="009F28E9">
        <w:rPr>
          <w:rFonts w:ascii="Arial" w:hAnsi="Arial" w:cs="Arial"/>
          <w:sz w:val="18"/>
          <w:szCs w:val="18"/>
        </w:rPr>
        <w:t xml:space="preserve">onde: </w:t>
      </w:r>
    </w:p>
    <w:p w:rsidR="0013594F" w:rsidRPr="009F28E9" w:rsidRDefault="0013594F" w:rsidP="0013594F">
      <w:pPr>
        <w:spacing w:before="120" w:after="120"/>
        <w:rPr>
          <w:rFonts w:ascii="Arial" w:hAnsi="Arial" w:cs="Arial"/>
          <w:sz w:val="18"/>
          <w:szCs w:val="18"/>
        </w:rPr>
      </w:pPr>
      <w:r w:rsidRPr="009F28E9">
        <w:rPr>
          <w:rFonts w:ascii="Arial" w:hAnsi="Arial" w:cs="Arial"/>
          <w:sz w:val="18"/>
          <w:szCs w:val="18"/>
        </w:rPr>
        <w:lastRenderedPageBreak/>
        <w:t>C</w:t>
      </w:r>
      <w:r w:rsidRPr="009F28E9">
        <w:rPr>
          <w:rFonts w:ascii="Arial" w:hAnsi="Arial" w:cs="Arial"/>
          <w:sz w:val="18"/>
          <w:szCs w:val="18"/>
          <w:vertAlign w:val="subscript"/>
        </w:rPr>
        <w:t>ajkt</w:t>
      </w:r>
      <w:r w:rsidRPr="009F28E9">
        <w:rPr>
          <w:rFonts w:ascii="Arial" w:hAnsi="Arial" w:cs="Arial"/>
          <w:sz w:val="18"/>
          <w:szCs w:val="18"/>
        </w:rPr>
        <w:t xml:space="preserve"> – custo marginal de operação do subsistema a no mês j, série k, ano t;</w:t>
      </w:r>
    </w:p>
    <w:p w:rsidR="0013594F" w:rsidRPr="009F28E9" w:rsidRDefault="0013594F" w:rsidP="0013594F">
      <w:pPr>
        <w:spacing w:before="120" w:after="120"/>
        <w:rPr>
          <w:rFonts w:ascii="Arial" w:hAnsi="Arial" w:cs="Arial"/>
          <w:sz w:val="18"/>
          <w:szCs w:val="18"/>
        </w:rPr>
      </w:pPr>
      <w:r w:rsidRPr="009F28E9">
        <w:rPr>
          <w:rFonts w:ascii="Arial" w:hAnsi="Arial" w:cs="Arial"/>
          <w:sz w:val="18"/>
          <w:szCs w:val="18"/>
        </w:rPr>
        <w:t>I</w:t>
      </w:r>
      <w:r w:rsidRPr="009F28E9">
        <w:rPr>
          <w:rFonts w:ascii="Arial" w:hAnsi="Arial" w:cs="Arial"/>
          <w:sz w:val="18"/>
          <w:szCs w:val="18"/>
          <w:vertAlign w:val="subscript"/>
        </w:rPr>
        <w:t>ajkt</w:t>
      </w:r>
      <w:r w:rsidRPr="009F28E9">
        <w:rPr>
          <w:rFonts w:ascii="Arial" w:hAnsi="Arial" w:cs="Arial"/>
          <w:sz w:val="18"/>
          <w:szCs w:val="18"/>
        </w:rPr>
        <w:t xml:space="preserve"> – intercâmbio fornecido pelo subsistema a no mês j, série k, ano t;</w:t>
      </w:r>
    </w:p>
    <w:p w:rsidR="0013594F" w:rsidRPr="009F28E9" w:rsidRDefault="0013594F" w:rsidP="0013594F">
      <w:pPr>
        <w:spacing w:before="120" w:after="120"/>
        <w:rPr>
          <w:rFonts w:ascii="Arial" w:hAnsi="Arial" w:cs="Arial"/>
          <w:sz w:val="18"/>
          <w:szCs w:val="18"/>
        </w:rPr>
      </w:pPr>
      <w:r w:rsidRPr="009F28E9">
        <w:rPr>
          <w:rFonts w:ascii="Arial" w:hAnsi="Arial" w:cs="Arial"/>
          <w:sz w:val="18"/>
          <w:szCs w:val="18"/>
        </w:rPr>
        <w:t>Ω</w:t>
      </w:r>
      <w:r w:rsidRPr="009F28E9">
        <w:rPr>
          <w:rFonts w:ascii="Arial" w:hAnsi="Arial" w:cs="Arial"/>
          <w:sz w:val="18"/>
          <w:szCs w:val="18"/>
          <w:vertAlign w:val="subscript"/>
        </w:rPr>
        <w:t>jk</w:t>
      </w:r>
      <w:r w:rsidRPr="009F28E9">
        <w:rPr>
          <w:rFonts w:ascii="Arial" w:hAnsi="Arial" w:cs="Arial"/>
          <w:sz w:val="18"/>
          <w:szCs w:val="18"/>
        </w:rPr>
        <w:t xml:space="preserve"> – conjunto dos subsistemas fornecedor no mês j, série k, ano t.</w:t>
      </w:r>
    </w:p>
    <w:p w:rsidR="0013594F" w:rsidRPr="009F28E9" w:rsidRDefault="0013594F" w:rsidP="0013594F">
      <w:pPr>
        <w:rPr>
          <w:rFonts w:cs="Arial"/>
          <w:sz w:val="18"/>
          <w:szCs w:val="18"/>
        </w:rPr>
      </w:pPr>
    </w:p>
    <w:p w:rsidR="0013594F" w:rsidRPr="009F28E9" w:rsidRDefault="0013594F" w:rsidP="0013594F">
      <w:pPr>
        <w:rPr>
          <w:rFonts w:ascii="Arial" w:hAnsi="Arial" w:cs="Arial"/>
          <w:sz w:val="18"/>
          <w:szCs w:val="18"/>
        </w:rPr>
      </w:pPr>
      <w:r w:rsidRPr="009F28E9">
        <w:rPr>
          <w:rFonts w:ascii="Arial" w:hAnsi="Arial" w:cs="Arial"/>
          <w:sz w:val="18"/>
          <w:szCs w:val="18"/>
        </w:rPr>
        <w:t>Em relação ao cálculo do IEP</w:t>
      </w:r>
      <w:r w:rsidRPr="009F28E9">
        <w:rPr>
          <w:rFonts w:ascii="Arial" w:hAnsi="Arial" w:cs="Arial"/>
          <w:sz w:val="18"/>
          <w:szCs w:val="18"/>
          <w:vertAlign w:val="subscript"/>
        </w:rPr>
        <w:t>i</w:t>
      </w:r>
      <w:r w:rsidRPr="009F28E9">
        <w:rPr>
          <w:rFonts w:ascii="Arial" w:hAnsi="Arial" w:cs="Arial"/>
          <w:sz w:val="18"/>
          <w:szCs w:val="18"/>
        </w:rPr>
        <w:t xml:space="preserve"> algumas observações são pertinentes:</w:t>
      </w:r>
    </w:p>
    <w:p w:rsidR="0013594F" w:rsidRPr="009F28E9" w:rsidRDefault="0013594F" w:rsidP="0013594F">
      <w:pPr>
        <w:rPr>
          <w:rFonts w:cs="Arial"/>
          <w:sz w:val="18"/>
          <w:szCs w:val="18"/>
        </w:rPr>
      </w:pPr>
    </w:p>
    <w:p w:rsidR="0013594F" w:rsidRPr="009F28E9" w:rsidRDefault="0013594F" w:rsidP="0013594F">
      <w:pPr>
        <w:spacing w:before="120" w:after="120"/>
        <w:jc w:val="both"/>
        <w:rPr>
          <w:rFonts w:ascii="Arial" w:hAnsi="Arial" w:cs="Arial"/>
          <w:sz w:val="18"/>
          <w:szCs w:val="18"/>
        </w:rPr>
      </w:pPr>
      <w:r w:rsidRPr="009F28E9">
        <w:rPr>
          <w:rFonts w:ascii="Arial" w:hAnsi="Arial" w:cs="Arial"/>
          <w:sz w:val="18"/>
          <w:szCs w:val="18"/>
        </w:rPr>
        <w:t>i) Valores negativos indicam que o subsistema é importador de energia;</w:t>
      </w:r>
    </w:p>
    <w:p w:rsidR="0013594F" w:rsidRPr="009F28E9" w:rsidRDefault="0013594F" w:rsidP="0013594F">
      <w:pPr>
        <w:spacing w:before="120" w:after="120"/>
        <w:jc w:val="both"/>
        <w:rPr>
          <w:rFonts w:ascii="Arial" w:hAnsi="Arial" w:cs="Arial"/>
          <w:sz w:val="18"/>
          <w:szCs w:val="18"/>
        </w:rPr>
      </w:pPr>
      <w:r w:rsidRPr="009F28E9">
        <w:rPr>
          <w:rFonts w:ascii="Arial" w:hAnsi="Arial" w:cs="Arial"/>
          <w:sz w:val="18"/>
          <w:szCs w:val="18"/>
        </w:rPr>
        <w:t>ii) Sua valorização pode ser realizada também a partir do custo marginal médio dos subsistemas fornecedores ou mesmo pela média aritmética dos subsistemas fornecedores e recebedores.</w:t>
      </w:r>
    </w:p>
    <w:p w:rsidR="0013594F" w:rsidRPr="009F28E9" w:rsidRDefault="0013594F" w:rsidP="0013594F">
      <w:pPr>
        <w:spacing w:before="120" w:after="120"/>
        <w:jc w:val="both"/>
        <w:rPr>
          <w:rFonts w:ascii="Arial" w:hAnsi="Arial" w:cs="Arial"/>
          <w:sz w:val="18"/>
          <w:szCs w:val="18"/>
        </w:rPr>
      </w:pPr>
      <w:r w:rsidRPr="009F28E9">
        <w:rPr>
          <w:rFonts w:ascii="Arial" w:hAnsi="Arial" w:cs="Arial"/>
          <w:sz w:val="18"/>
          <w:szCs w:val="18"/>
        </w:rPr>
        <w:t>A determinação da Energia Garantida dos Subsistemas (EG</w:t>
      </w:r>
      <w:r w:rsidRPr="009F28E9">
        <w:rPr>
          <w:rFonts w:ascii="Arial" w:hAnsi="Arial" w:cs="Arial"/>
          <w:sz w:val="18"/>
          <w:szCs w:val="18"/>
          <w:vertAlign w:val="subscript"/>
        </w:rPr>
        <w:t>i</w:t>
      </w:r>
      <w:r w:rsidRPr="009F28E9">
        <w:rPr>
          <w:rFonts w:ascii="Arial" w:hAnsi="Arial" w:cs="Arial"/>
          <w:sz w:val="18"/>
          <w:szCs w:val="18"/>
        </w:rPr>
        <w:t>) é calculada pela diferença entre a carga crítica convergida ao nível de risco de déficit de energia pré-fixado e o intercâmbio esperado, qual seja:</w:t>
      </w:r>
    </w:p>
    <w:p w:rsidR="0013594F" w:rsidRPr="009F28E9" w:rsidRDefault="0013594F" w:rsidP="0013594F">
      <w:pPr>
        <w:spacing w:before="120" w:after="120"/>
        <w:jc w:val="both"/>
        <w:rPr>
          <w:rFonts w:ascii="Arial" w:hAnsi="Arial" w:cs="Arial"/>
          <w:sz w:val="18"/>
          <w:szCs w:val="18"/>
        </w:rPr>
      </w:pPr>
      <w:r w:rsidRPr="009F28E9">
        <w:rPr>
          <w:rFonts w:ascii="Arial" w:hAnsi="Arial" w:cs="Arial"/>
          <w:sz w:val="18"/>
          <w:szCs w:val="18"/>
        </w:rPr>
        <w:t>EG</w:t>
      </w:r>
      <w:r w:rsidRPr="009F28E9">
        <w:rPr>
          <w:rFonts w:ascii="Arial" w:hAnsi="Arial" w:cs="Arial"/>
          <w:sz w:val="18"/>
          <w:szCs w:val="18"/>
          <w:vertAlign w:val="subscript"/>
        </w:rPr>
        <w:t>i</w:t>
      </w:r>
      <w:r w:rsidRPr="009F28E9">
        <w:rPr>
          <w:rFonts w:ascii="Arial" w:hAnsi="Arial" w:cs="Arial"/>
          <w:sz w:val="18"/>
          <w:szCs w:val="18"/>
        </w:rPr>
        <w:t xml:space="preserve"> = CC</w:t>
      </w:r>
      <w:r w:rsidRPr="009F28E9">
        <w:rPr>
          <w:rFonts w:ascii="Arial" w:hAnsi="Arial" w:cs="Arial"/>
          <w:sz w:val="18"/>
          <w:szCs w:val="18"/>
          <w:vertAlign w:val="subscript"/>
        </w:rPr>
        <w:t>i,p%</w:t>
      </w:r>
      <w:r w:rsidRPr="009F28E9">
        <w:rPr>
          <w:rFonts w:ascii="Arial" w:hAnsi="Arial" w:cs="Arial"/>
          <w:sz w:val="18"/>
          <w:szCs w:val="18"/>
        </w:rPr>
        <w:t xml:space="preserve"> - IEP</w:t>
      </w:r>
      <w:r w:rsidRPr="009F28E9">
        <w:rPr>
          <w:rFonts w:ascii="Arial" w:hAnsi="Arial" w:cs="Arial"/>
          <w:sz w:val="18"/>
          <w:szCs w:val="18"/>
          <w:vertAlign w:val="subscript"/>
        </w:rPr>
        <w:t>i</w:t>
      </w:r>
    </w:p>
    <w:p w:rsidR="0013594F" w:rsidRPr="009F28E9" w:rsidRDefault="0013594F" w:rsidP="0013594F">
      <w:pPr>
        <w:spacing w:before="120" w:after="120"/>
        <w:jc w:val="both"/>
        <w:rPr>
          <w:rFonts w:ascii="Arial" w:hAnsi="Arial" w:cs="Arial"/>
          <w:sz w:val="18"/>
          <w:szCs w:val="18"/>
        </w:rPr>
      </w:pPr>
      <w:r w:rsidRPr="009F28E9">
        <w:rPr>
          <w:rFonts w:ascii="Arial" w:hAnsi="Arial" w:cs="Arial"/>
          <w:sz w:val="18"/>
          <w:szCs w:val="18"/>
        </w:rPr>
        <w:t xml:space="preserve">onde: </w:t>
      </w:r>
    </w:p>
    <w:p w:rsidR="000119D8" w:rsidRPr="009F28E9" w:rsidRDefault="0013594F" w:rsidP="0013594F">
      <w:pPr>
        <w:autoSpaceDE w:val="0"/>
        <w:autoSpaceDN w:val="0"/>
        <w:adjustRightInd w:val="0"/>
        <w:jc w:val="both"/>
        <w:rPr>
          <w:rFonts w:ascii="Arial" w:hAnsi="Arial" w:cs="Arial"/>
          <w:sz w:val="18"/>
          <w:szCs w:val="18"/>
        </w:rPr>
      </w:pPr>
      <w:r w:rsidRPr="009F28E9">
        <w:rPr>
          <w:rFonts w:ascii="Arial" w:hAnsi="Arial" w:cs="Arial"/>
          <w:sz w:val="18"/>
          <w:szCs w:val="18"/>
        </w:rPr>
        <w:t>CC</w:t>
      </w:r>
      <w:r w:rsidRPr="009F28E9">
        <w:rPr>
          <w:rFonts w:ascii="Arial" w:hAnsi="Arial" w:cs="Arial"/>
          <w:sz w:val="18"/>
          <w:szCs w:val="18"/>
          <w:vertAlign w:val="subscript"/>
        </w:rPr>
        <w:t>i,p%</w:t>
      </w:r>
      <w:r w:rsidRPr="009F28E9">
        <w:rPr>
          <w:rFonts w:ascii="Arial" w:hAnsi="Arial" w:cs="Arial"/>
          <w:sz w:val="18"/>
          <w:szCs w:val="18"/>
        </w:rPr>
        <w:t xml:space="preserve"> - carga crítica do subsistema i associada a um risco de déficit de energia p%;</w:t>
      </w:r>
    </w:p>
    <w:p w:rsidR="0013594F" w:rsidRPr="009F28E9" w:rsidRDefault="0013594F" w:rsidP="0013594F">
      <w:pPr>
        <w:autoSpaceDE w:val="0"/>
        <w:autoSpaceDN w:val="0"/>
        <w:adjustRightInd w:val="0"/>
        <w:jc w:val="both"/>
        <w:rPr>
          <w:rFonts w:ascii="Arial" w:hAnsi="Arial" w:cs="Arial"/>
          <w:sz w:val="18"/>
          <w:szCs w:val="18"/>
        </w:rPr>
      </w:pPr>
    </w:p>
    <w:p w:rsidR="0013594F" w:rsidRPr="009F28E9" w:rsidRDefault="0013594F" w:rsidP="0013594F">
      <w:pPr>
        <w:autoSpaceDE w:val="0"/>
        <w:autoSpaceDN w:val="0"/>
        <w:adjustRightInd w:val="0"/>
        <w:jc w:val="both"/>
        <w:rPr>
          <w:rFonts w:ascii="Arial" w:hAnsi="Arial" w:cs="Arial"/>
          <w:sz w:val="18"/>
          <w:szCs w:val="18"/>
        </w:rPr>
      </w:pPr>
      <w:r w:rsidRPr="009F28E9">
        <w:rPr>
          <w:rFonts w:ascii="Arial" w:hAnsi="Arial" w:cs="Arial"/>
          <w:sz w:val="18"/>
          <w:szCs w:val="18"/>
        </w:rPr>
        <w:t>3.7.3 Rateio entre tipos de fontes Geradoras</w:t>
      </w:r>
    </w:p>
    <w:p w:rsidR="0013594F" w:rsidRPr="009F28E9" w:rsidRDefault="0013594F" w:rsidP="0013594F">
      <w:pPr>
        <w:autoSpaceDE w:val="0"/>
        <w:autoSpaceDN w:val="0"/>
        <w:adjustRightInd w:val="0"/>
        <w:jc w:val="both"/>
        <w:rPr>
          <w:rFonts w:ascii="Arial" w:hAnsi="Arial" w:cs="Arial"/>
          <w:sz w:val="18"/>
          <w:szCs w:val="18"/>
        </w:rPr>
      </w:pPr>
    </w:p>
    <w:p w:rsidR="0013594F" w:rsidRPr="009F28E9" w:rsidRDefault="0013594F" w:rsidP="003F1E7E">
      <w:pPr>
        <w:autoSpaceDE w:val="0"/>
        <w:autoSpaceDN w:val="0"/>
        <w:adjustRightInd w:val="0"/>
        <w:spacing w:line="360" w:lineRule="auto"/>
        <w:jc w:val="both"/>
        <w:rPr>
          <w:rFonts w:ascii="Arial" w:hAnsi="Arial" w:cs="Arial"/>
          <w:sz w:val="18"/>
          <w:szCs w:val="18"/>
        </w:rPr>
      </w:pPr>
      <w:r w:rsidRPr="009F28E9">
        <w:rPr>
          <w:rFonts w:ascii="Arial" w:hAnsi="Arial" w:cs="Arial"/>
          <w:sz w:val="18"/>
          <w:szCs w:val="18"/>
        </w:rPr>
        <w:t>Calcula-se os valores ponderados anuais de cada tipo de fonte de energia, exceto no caso das energias externas o quais entram no modelo, em razão de sua magnitude, com valores constantes.</w:t>
      </w:r>
      <w:r w:rsidR="003F5CDC" w:rsidRPr="009F28E9">
        <w:rPr>
          <w:rFonts w:ascii="Arial" w:hAnsi="Arial" w:cs="Arial"/>
          <w:sz w:val="18"/>
          <w:szCs w:val="18"/>
        </w:rPr>
        <w:t xml:space="preserve"> O procedimento de cálculo segue os seguintes passos:</w:t>
      </w:r>
    </w:p>
    <w:p w:rsidR="003F5CDC" w:rsidRPr="009F28E9" w:rsidRDefault="003F5CDC" w:rsidP="003F1E7E">
      <w:pPr>
        <w:autoSpaceDE w:val="0"/>
        <w:autoSpaceDN w:val="0"/>
        <w:adjustRightInd w:val="0"/>
        <w:spacing w:line="360" w:lineRule="auto"/>
        <w:jc w:val="both"/>
        <w:rPr>
          <w:rFonts w:ascii="Arial" w:hAnsi="Arial" w:cs="Arial"/>
          <w:sz w:val="18"/>
          <w:szCs w:val="18"/>
        </w:rPr>
      </w:pPr>
    </w:p>
    <w:p w:rsidR="0060726E" w:rsidRDefault="003F5CDC" w:rsidP="003F1E7E">
      <w:pPr>
        <w:autoSpaceDE w:val="0"/>
        <w:autoSpaceDN w:val="0"/>
        <w:adjustRightInd w:val="0"/>
        <w:spacing w:line="360" w:lineRule="auto"/>
        <w:jc w:val="both"/>
        <w:rPr>
          <w:rFonts w:ascii="Arial" w:hAnsi="Arial" w:cs="Arial"/>
          <w:sz w:val="18"/>
          <w:szCs w:val="18"/>
        </w:rPr>
      </w:pPr>
      <w:r w:rsidRPr="009F28E9">
        <w:rPr>
          <w:rFonts w:ascii="Arial" w:hAnsi="Arial" w:cs="Arial"/>
          <w:sz w:val="18"/>
          <w:szCs w:val="18"/>
        </w:rPr>
        <w:t xml:space="preserve">i) Para cada subsistema, em </w:t>
      </w:r>
      <w:r w:rsidR="009F28E9">
        <w:rPr>
          <w:rFonts w:ascii="Arial" w:hAnsi="Arial" w:cs="Arial"/>
          <w:sz w:val="18"/>
          <w:szCs w:val="18"/>
        </w:rPr>
        <w:t>c</w:t>
      </w:r>
      <w:r w:rsidRPr="009F28E9">
        <w:rPr>
          <w:rFonts w:ascii="Arial" w:hAnsi="Arial" w:cs="Arial"/>
          <w:sz w:val="18"/>
          <w:szCs w:val="18"/>
        </w:rPr>
        <w:t>ada mês e série hidrológica</w:t>
      </w:r>
      <w:r w:rsidR="009F28E9">
        <w:rPr>
          <w:rFonts w:ascii="Arial" w:hAnsi="Arial" w:cs="Arial"/>
          <w:sz w:val="18"/>
          <w:szCs w:val="18"/>
        </w:rPr>
        <w:t xml:space="preserve"> e série hidrológica é calculado o custo marginal de operação (15). </w:t>
      </w:r>
      <w:r w:rsidR="0060726E">
        <w:rPr>
          <w:rFonts w:ascii="Arial" w:hAnsi="Arial" w:cs="Arial"/>
          <w:sz w:val="18"/>
          <w:szCs w:val="18"/>
        </w:rPr>
        <w:t>São acumulados os valores da geração proveniente de cada tipo de fonte. O valor da geração de um tipo de fonte para um subsistema, mês e série hidrológica é o produto entre a energia gerada por este tipo de fonte e o custo margina;</w:t>
      </w:r>
    </w:p>
    <w:p w:rsidR="0060726E" w:rsidRDefault="0060726E" w:rsidP="003F1E7E">
      <w:pPr>
        <w:autoSpaceDE w:val="0"/>
        <w:autoSpaceDN w:val="0"/>
        <w:adjustRightInd w:val="0"/>
        <w:spacing w:line="360" w:lineRule="auto"/>
        <w:jc w:val="both"/>
        <w:rPr>
          <w:rFonts w:ascii="Arial" w:hAnsi="Arial" w:cs="Arial"/>
          <w:sz w:val="18"/>
          <w:szCs w:val="18"/>
        </w:rPr>
      </w:pPr>
    </w:p>
    <w:p w:rsidR="0060726E" w:rsidRDefault="0060726E" w:rsidP="003F1E7E">
      <w:pPr>
        <w:autoSpaceDE w:val="0"/>
        <w:autoSpaceDN w:val="0"/>
        <w:adjustRightInd w:val="0"/>
        <w:spacing w:line="360" w:lineRule="auto"/>
        <w:jc w:val="both"/>
        <w:rPr>
          <w:rFonts w:ascii="Arial" w:hAnsi="Arial" w:cs="Arial"/>
          <w:sz w:val="18"/>
          <w:szCs w:val="18"/>
        </w:rPr>
      </w:pPr>
      <w:r>
        <w:rPr>
          <w:rFonts w:ascii="Arial" w:hAnsi="Arial" w:cs="Arial"/>
          <w:sz w:val="18"/>
          <w:szCs w:val="18"/>
        </w:rPr>
        <w:t>ii) A energia externa de cada subsistema é retirada do total da parcela atribuída ao subsistema no rateio de energia total do sistema. O restante da energia atribuída ao sistema é rateada entre os diversos tipos de fonte proporcionalmente ao respectivo valor total acumulado.</w:t>
      </w:r>
    </w:p>
    <w:p w:rsidR="0060726E" w:rsidRDefault="0060726E" w:rsidP="0013594F">
      <w:pPr>
        <w:autoSpaceDE w:val="0"/>
        <w:autoSpaceDN w:val="0"/>
        <w:adjustRightInd w:val="0"/>
        <w:jc w:val="both"/>
        <w:rPr>
          <w:rFonts w:ascii="Arial" w:hAnsi="Arial" w:cs="Arial"/>
          <w:sz w:val="18"/>
          <w:szCs w:val="18"/>
        </w:rPr>
      </w:pPr>
    </w:p>
    <w:p w:rsidR="0060726E" w:rsidRDefault="0060726E" w:rsidP="0013594F">
      <w:pPr>
        <w:autoSpaceDE w:val="0"/>
        <w:autoSpaceDN w:val="0"/>
        <w:adjustRightInd w:val="0"/>
        <w:jc w:val="both"/>
        <w:rPr>
          <w:rFonts w:ascii="Arial" w:hAnsi="Arial" w:cs="Arial"/>
          <w:sz w:val="18"/>
          <w:szCs w:val="18"/>
        </w:rPr>
      </w:pPr>
      <w:r>
        <w:rPr>
          <w:rFonts w:ascii="Arial" w:hAnsi="Arial" w:cs="Arial"/>
          <w:sz w:val="18"/>
          <w:szCs w:val="18"/>
        </w:rPr>
        <w:t>3.7.4 Rateio de geração termoelétrica</w:t>
      </w:r>
      <w:r w:rsidR="00240A1F">
        <w:rPr>
          <w:rFonts w:ascii="Arial" w:hAnsi="Arial" w:cs="Arial"/>
          <w:sz w:val="18"/>
          <w:szCs w:val="18"/>
        </w:rPr>
        <w:t xml:space="preserve"> de um susbsistema entre as usinas</w:t>
      </w:r>
    </w:p>
    <w:p w:rsidR="00240A1F" w:rsidRDefault="00240A1F" w:rsidP="0013594F">
      <w:pPr>
        <w:autoSpaceDE w:val="0"/>
        <w:autoSpaceDN w:val="0"/>
        <w:adjustRightInd w:val="0"/>
        <w:jc w:val="both"/>
        <w:rPr>
          <w:rFonts w:ascii="Arial" w:hAnsi="Arial" w:cs="Arial"/>
          <w:sz w:val="18"/>
          <w:szCs w:val="18"/>
        </w:rPr>
      </w:pPr>
    </w:p>
    <w:p w:rsidR="00240A1F" w:rsidRDefault="00240A1F" w:rsidP="003F1E7E">
      <w:pPr>
        <w:autoSpaceDE w:val="0"/>
        <w:autoSpaceDN w:val="0"/>
        <w:adjustRightInd w:val="0"/>
        <w:spacing w:line="360" w:lineRule="auto"/>
        <w:jc w:val="both"/>
        <w:rPr>
          <w:rFonts w:ascii="Arial" w:hAnsi="Arial" w:cs="Arial"/>
          <w:sz w:val="18"/>
          <w:szCs w:val="18"/>
        </w:rPr>
      </w:pPr>
      <w:r>
        <w:rPr>
          <w:rFonts w:ascii="Arial" w:hAnsi="Arial" w:cs="Arial"/>
          <w:sz w:val="18"/>
          <w:szCs w:val="18"/>
        </w:rPr>
        <w:t>O bloco de energia garantida anual associada a cada classe térmica de cada subsistema é distribuído de forma proporcional á</w:t>
      </w:r>
      <w:r w:rsidR="003F1E7E">
        <w:rPr>
          <w:rFonts w:ascii="Arial" w:hAnsi="Arial" w:cs="Arial"/>
          <w:sz w:val="18"/>
          <w:szCs w:val="18"/>
        </w:rPr>
        <w:t>s capacidades máximas de geraçã</w:t>
      </w:r>
      <w:r>
        <w:rPr>
          <w:rFonts w:ascii="Arial" w:hAnsi="Arial" w:cs="Arial"/>
          <w:sz w:val="18"/>
          <w:szCs w:val="18"/>
        </w:rPr>
        <w:t>o</w:t>
      </w:r>
      <w:r w:rsidR="003F1E7E">
        <w:rPr>
          <w:rFonts w:ascii="Arial" w:hAnsi="Arial" w:cs="Arial"/>
          <w:sz w:val="18"/>
          <w:szCs w:val="18"/>
        </w:rPr>
        <w:t xml:space="preserve"> </w:t>
      </w:r>
      <w:r>
        <w:rPr>
          <w:rFonts w:ascii="Arial" w:hAnsi="Arial" w:cs="Arial"/>
          <w:sz w:val="18"/>
          <w:szCs w:val="18"/>
        </w:rPr>
        <w:t>contínua das usinas.</w:t>
      </w:r>
    </w:p>
    <w:p w:rsidR="00240A1F" w:rsidRDefault="00240A1F" w:rsidP="0013594F">
      <w:pPr>
        <w:autoSpaceDE w:val="0"/>
        <w:autoSpaceDN w:val="0"/>
        <w:adjustRightInd w:val="0"/>
        <w:jc w:val="both"/>
        <w:rPr>
          <w:rFonts w:ascii="Arial" w:hAnsi="Arial" w:cs="Arial"/>
          <w:sz w:val="18"/>
          <w:szCs w:val="18"/>
        </w:rPr>
      </w:pPr>
    </w:p>
    <w:p w:rsidR="00240A1F" w:rsidRDefault="00240A1F" w:rsidP="0013594F">
      <w:pPr>
        <w:autoSpaceDE w:val="0"/>
        <w:autoSpaceDN w:val="0"/>
        <w:adjustRightInd w:val="0"/>
        <w:jc w:val="both"/>
        <w:rPr>
          <w:rFonts w:ascii="Arial" w:hAnsi="Arial" w:cs="Arial"/>
          <w:sz w:val="18"/>
          <w:szCs w:val="18"/>
        </w:rPr>
      </w:pPr>
      <w:r>
        <w:rPr>
          <w:rFonts w:ascii="Arial" w:hAnsi="Arial" w:cs="Arial"/>
          <w:sz w:val="18"/>
          <w:szCs w:val="18"/>
        </w:rPr>
        <w:t>3.7.5 Rateio de geração hidroelétrica de um subsistema entre usinas</w:t>
      </w:r>
    </w:p>
    <w:p w:rsidR="00240A1F" w:rsidRDefault="00240A1F" w:rsidP="0013594F">
      <w:pPr>
        <w:autoSpaceDE w:val="0"/>
        <w:autoSpaceDN w:val="0"/>
        <w:adjustRightInd w:val="0"/>
        <w:jc w:val="both"/>
        <w:rPr>
          <w:rFonts w:ascii="Arial" w:hAnsi="Arial" w:cs="Arial"/>
          <w:sz w:val="18"/>
          <w:szCs w:val="18"/>
        </w:rPr>
      </w:pPr>
    </w:p>
    <w:p w:rsidR="00240A1F" w:rsidRDefault="00240A1F" w:rsidP="003F1E7E">
      <w:pPr>
        <w:autoSpaceDE w:val="0"/>
        <w:autoSpaceDN w:val="0"/>
        <w:adjustRightInd w:val="0"/>
        <w:spacing w:line="360" w:lineRule="auto"/>
        <w:jc w:val="both"/>
        <w:rPr>
          <w:rFonts w:ascii="Arial" w:hAnsi="Arial" w:cs="Arial"/>
          <w:sz w:val="18"/>
          <w:szCs w:val="18"/>
        </w:rPr>
      </w:pPr>
      <w:r>
        <w:rPr>
          <w:rFonts w:ascii="Arial" w:hAnsi="Arial" w:cs="Arial"/>
          <w:sz w:val="18"/>
          <w:szCs w:val="18"/>
        </w:rPr>
        <w:t>Realizado com base no valor estimado da energia gerada de cada usina. Para isso, deve-se seguir os seguintes passos:</w:t>
      </w:r>
    </w:p>
    <w:p w:rsidR="00240A1F" w:rsidRDefault="00240A1F" w:rsidP="003F1E7E">
      <w:pPr>
        <w:autoSpaceDE w:val="0"/>
        <w:autoSpaceDN w:val="0"/>
        <w:adjustRightInd w:val="0"/>
        <w:spacing w:line="360" w:lineRule="auto"/>
        <w:jc w:val="both"/>
        <w:rPr>
          <w:rFonts w:ascii="Arial" w:hAnsi="Arial" w:cs="Arial"/>
          <w:sz w:val="18"/>
          <w:szCs w:val="18"/>
        </w:rPr>
      </w:pPr>
    </w:p>
    <w:p w:rsidR="00240A1F" w:rsidRDefault="00240A1F" w:rsidP="003F1E7E">
      <w:pPr>
        <w:autoSpaceDE w:val="0"/>
        <w:autoSpaceDN w:val="0"/>
        <w:adjustRightInd w:val="0"/>
        <w:spacing w:line="360" w:lineRule="auto"/>
        <w:jc w:val="both"/>
        <w:rPr>
          <w:rFonts w:ascii="Arial" w:hAnsi="Arial" w:cs="Arial"/>
          <w:sz w:val="18"/>
          <w:szCs w:val="18"/>
        </w:rPr>
      </w:pPr>
      <w:r>
        <w:rPr>
          <w:rFonts w:ascii="Arial" w:hAnsi="Arial" w:cs="Arial"/>
          <w:sz w:val="18"/>
          <w:szCs w:val="18"/>
        </w:rPr>
        <w:t>i) Simulação a subsistema equivalentes para a série histórica de energias afluentes. Nesta etapa são obtidos para cada subsistema, mês e série: geração hidroelétrica e o custo marginal estimado conforme (15).</w:t>
      </w:r>
    </w:p>
    <w:p w:rsidR="00240A1F" w:rsidRDefault="00240A1F" w:rsidP="003F1E7E">
      <w:pPr>
        <w:autoSpaceDE w:val="0"/>
        <w:autoSpaceDN w:val="0"/>
        <w:adjustRightInd w:val="0"/>
        <w:spacing w:line="360" w:lineRule="auto"/>
        <w:jc w:val="both"/>
        <w:rPr>
          <w:rFonts w:ascii="Arial" w:hAnsi="Arial" w:cs="Arial"/>
          <w:sz w:val="18"/>
          <w:szCs w:val="18"/>
        </w:rPr>
      </w:pPr>
    </w:p>
    <w:p w:rsidR="00240A1F" w:rsidRDefault="00240A1F" w:rsidP="003F1E7E">
      <w:pPr>
        <w:autoSpaceDE w:val="0"/>
        <w:autoSpaceDN w:val="0"/>
        <w:adjustRightInd w:val="0"/>
        <w:spacing w:line="360" w:lineRule="auto"/>
        <w:jc w:val="both"/>
        <w:rPr>
          <w:rFonts w:ascii="Arial" w:hAnsi="Arial" w:cs="Arial"/>
          <w:sz w:val="18"/>
          <w:szCs w:val="18"/>
        </w:rPr>
      </w:pPr>
      <w:r>
        <w:rPr>
          <w:rFonts w:ascii="Arial" w:hAnsi="Arial" w:cs="Arial"/>
          <w:sz w:val="18"/>
          <w:szCs w:val="18"/>
        </w:rPr>
        <w:lastRenderedPageBreak/>
        <w:t>ii) Para cada subsistema é realizada uma simulação a usinas individualizadas, sendo que a carga utilizada para cada mês e série é a respectiva geração hidroelétrica</w:t>
      </w:r>
      <w:r w:rsidR="009624AF">
        <w:rPr>
          <w:rFonts w:ascii="Arial" w:hAnsi="Arial" w:cs="Arial"/>
          <w:sz w:val="18"/>
          <w:szCs w:val="18"/>
        </w:rPr>
        <w:t xml:space="preserve"> informada em (i)</w:t>
      </w:r>
      <w:r>
        <w:rPr>
          <w:rFonts w:ascii="Arial" w:hAnsi="Arial" w:cs="Arial"/>
          <w:sz w:val="18"/>
          <w:szCs w:val="18"/>
        </w:rPr>
        <w:t>.</w:t>
      </w:r>
      <w:r w:rsidR="009624AF">
        <w:rPr>
          <w:rFonts w:ascii="Arial" w:hAnsi="Arial" w:cs="Arial"/>
          <w:sz w:val="18"/>
          <w:szCs w:val="18"/>
        </w:rPr>
        <w:t xml:space="preserve"> Nesta simulação é acumulado, para cada usina hidroelétrica, o valor estimado de sua geração a partir do produto entre a energia gerada e o custo marginal estimado, obtido em (i),  para o subsistema, mês e série.</w:t>
      </w:r>
    </w:p>
    <w:p w:rsidR="009624AF" w:rsidRDefault="009624AF" w:rsidP="003F1E7E">
      <w:pPr>
        <w:autoSpaceDE w:val="0"/>
        <w:autoSpaceDN w:val="0"/>
        <w:adjustRightInd w:val="0"/>
        <w:spacing w:line="360" w:lineRule="auto"/>
        <w:jc w:val="both"/>
        <w:rPr>
          <w:rFonts w:ascii="Arial" w:hAnsi="Arial" w:cs="Arial"/>
          <w:sz w:val="18"/>
          <w:szCs w:val="18"/>
        </w:rPr>
      </w:pPr>
    </w:p>
    <w:p w:rsidR="009624AF" w:rsidRDefault="009624AF" w:rsidP="003F1E7E">
      <w:pPr>
        <w:autoSpaceDE w:val="0"/>
        <w:autoSpaceDN w:val="0"/>
        <w:adjustRightInd w:val="0"/>
        <w:spacing w:line="360" w:lineRule="auto"/>
        <w:jc w:val="both"/>
        <w:rPr>
          <w:rFonts w:ascii="Arial" w:hAnsi="Arial" w:cs="Arial"/>
          <w:sz w:val="18"/>
          <w:szCs w:val="18"/>
        </w:rPr>
      </w:pPr>
      <w:r>
        <w:rPr>
          <w:rFonts w:ascii="Arial" w:hAnsi="Arial" w:cs="Arial"/>
          <w:sz w:val="18"/>
          <w:szCs w:val="18"/>
        </w:rPr>
        <w:t xml:space="preserve">iii) </w:t>
      </w:r>
      <w:r w:rsidRPr="009624AF">
        <w:rPr>
          <w:rFonts w:ascii="Arial" w:hAnsi="Arial" w:cs="Arial"/>
          <w:sz w:val="18"/>
          <w:szCs w:val="18"/>
        </w:rPr>
        <w:t>A energia atribuída ao conjunto de usinas hidroelétricas do subsistema é rateada entre as usinas proporcionalmente aos valores estimados de geração correspondentes.</w:t>
      </w:r>
    </w:p>
    <w:p w:rsidR="009624AF" w:rsidRDefault="009624AF" w:rsidP="003F1E7E">
      <w:pPr>
        <w:autoSpaceDE w:val="0"/>
        <w:autoSpaceDN w:val="0"/>
        <w:adjustRightInd w:val="0"/>
        <w:spacing w:line="360" w:lineRule="auto"/>
        <w:jc w:val="both"/>
        <w:rPr>
          <w:rFonts w:ascii="Arial" w:hAnsi="Arial" w:cs="Arial"/>
          <w:sz w:val="18"/>
          <w:szCs w:val="18"/>
        </w:rPr>
      </w:pPr>
    </w:p>
    <w:p w:rsidR="009624AF" w:rsidRDefault="009624AF" w:rsidP="003F1E7E">
      <w:pPr>
        <w:autoSpaceDE w:val="0"/>
        <w:autoSpaceDN w:val="0"/>
        <w:adjustRightInd w:val="0"/>
        <w:spacing w:line="360" w:lineRule="auto"/>
        <w:jc w:val="both"/>
        <w:rPr>
          <w:rFonts w:ascii="Arial" w:hAnsi="Arial" w:cs="Arial"/>
          <w:sz w:val="18"/>
          <w:szCs w:val="18"/>
        </w:rPr>
      </w:pPr>
      <w:r>
        <w:rPr>
          <w:rFonts w:ascii="Arial" w:hAnsi="Arial" w:cs="Arial"/>
          <w:sz w:val="18"/>
          <w:szCs w:val="18"/>
        </w:rPr>
        <w:t>3.7.6 Modelos Utilizados</w:t>
      </w:r>
      <w:r w:rsidR="008E1C89">
        <w:rPr>
          <w:rFonts w:ascii="Arial" w:hAnsi="Arial" w:cs="Arial"/>
          <w:sz w:val="18"/>
          <w:szCs w:val="18"/>
        </w:rPr>
        <w:t xml:space="preserve"> para Rateio de Energia</w:t>
      </w:r>
    </w:p>
    <w:p w:rsidR="003F1E7E" w:rsidRDefault="003F1E7E" w:rsidP="003F1E7E">
      <w:pPr>
        <w:autoSpaceDE w:val="0"/>
        <w:autoSpaceDN w:val="0"/>
        <w:adjustRightInd w:val="0"/>
        <w:spacing w:line="360" w:lineRule="auto"/>
        <w:jc w:val="both"/>
        <w:rPr>
          <w:rFonts w:ascii="Arial" w:hAnsi="Arial" w:cs="Arial"/>
          <w:sz w:val="18"/>
          <w:szCs w:val="18"/>
        </w:rPr>
      </w:pPr>
    </w:p>
    <w:p w:rsidR="009624AF" w:rsidRPr="009624AF" w:rsidRDefault="009624AF" w:rsidP="003F1E7E">
      <w:pPr>
        <w:autoSpaceDE w:val="0"/>
        <w:autoSpaceDN w:val="0"/>
        <w:adjustRightInd w:val="0"/>
        <w:spacing w:line="360" w:lineRule="auto"/>
        <w:jc w:val="both"/>
        <w:rPr>
          <w:rFonts w:ascii="Arial" w:hAnsi="Arial" w:cs="Arial"/>
          <w:sz w:val="18"/>
          <w:szCs w:val="18"/>
        </w:rPr>
      </w:pPr>
      <w:r>
        <w:rPr>
          <w:rFonts w:ascii="Arial" w:hAnsi="Arial" w:cs="Arial"/>
          <w:sz w:val="18"/>
          <w:szCs w:val="18"/>
        </w:rPr>
        <w:t xml:space="preserve"> </w:t>
      </w:r>
      <w:r w:rsidR="008E1C89">
        <w:rPr>
          <w:rFonts w:ascii="Arial" w:hAnsi="Arial" w:cs="Arial"/>
          <w:sz w:val="18"/>
          <w:szCs w:val="18"/>
        </w:rPr>
        <w:t>A Tabela 5 apresenta os modelos que foram utilizados em cada etapa tanto pelo GCPS quanto GCOI.</w:t>
      </w:r>
    </w:p>
    <w:p w:rsidR="00240A1F" w:rsidRDefault="00240A1F" w:rsidP="0013594F">
      <w:pPr>
        <w:autoSpaceDE w:val="0"/>
        <w:autoSpaceDN w:val="0"/>
        <w:adjustRightInd w:val="0"/>
        <w:jc w:val="both"/>
        <w:rPr>
          <w:rFonts w:ascii="Arial" w:hAnsi="Arial" w:cs="Arial"/>
          <w:sz w:val="18"/>
          <w:szCs w:val="18"/>
        </w:rPr>
      </w:pPr>
    </w:p>
    <w:p w:rsidR="00240A1F" w:rsidRDefault="008E1C89" w:rsidP="003F1E7E">
      <w:pPr>
        <w:autoSpaceDE w:val="0"/>
        <w:autoSpaceDN w:val="0"/>
        <w:adjustRightInd w:val="0"/>
        <w:jc w:val="center"/>
        <w:rPr>
          <w:rFonts w:ascii="Arial" w:hAnsi="Arial" w:cs="Arial"/>
          <w:sz w:val="18"/>
          <w:szCs w:val="18"/>
        </w:rPr>
      </w:pPr>
      <w:r>
        <w:rPr>
          <w:rFonts w:ascii="Arial" w:hAnsi="Arial" w:cs="Arial"/>
          <w:sz w:val="18"/>
          <w:szCs w:val="18"/>
        </w:rPr>
        <w:t>Tabela 5</w:t>
      </w:r>
    </w:p>
    <w:p w:rsidR="008E1C89" w:rsidRDefault="008E1C89" w:rsidP="003F1E7E">
      <w:pPr>
        <w:autoSpaceDE w:val="0"/>
        <w:autoSpaceDN w:val="0"/>
        <w:adjustRightInd w:val="0"/>
        <w:jc w:val="center"/>
        <w:rPr>
          <w:rFonts w:ascii="Arial" w:hAnsi="Arial" w:cs="Arial"/>
          <w:sz w:val="18"/>
          <w:szCs w:val="18"/>
        </w:rPr>
      </w:pPr>
      <w:r>
        <w:rPr>
          <w:rFonts w:ascii="Arial" w:hAnsi="Arial" w:cs="Arial"/>
          <w:sz w:val="18"/>
          <w:szCs w:val="18"/>
        </w:rPr>
        <w:t>Rateio de Energia</w:t>
      </w:r>
    </w:p>
    <w:p w:rsidR="008E1C89" w:rsidRDefault="008E1C89" w:rsidP="003F1E7E">
      <w:pPr>
        <w:autoSpaceDE w:val="0"/>
        <w:autoSpaceDN w:val="0"/>
        <w:adjustRightInd w:val="0"/>
        <w:jc w:val="center"/>
        <w:rPr>
          <w:rFonts w:ascii="Arial" w:hAnsi="Arial" w:cs="Arial"/>
          <w:sz w:val="18"/>
          <w:szCs w:val="18"/>
        </w:rPr>
      </w:pPr>
      <w:r>
        <w:rPr>
          <w:rFonts w:ascii="Arial" w:hAnsi="Arial" w:cs="Arial"/>
          <w:sz w:val="18"/>
          <w:szCs w:val="18"/>
        </w:rPr>
        <w:t>Modelos Utilizados</w:t>
      </w:r>
    </w:p>
    <w:tbl>
      <w:tblPr>
        <w:tblStyle w:val="Tabelacomgrade"/>
        <w:tblW w:w="0" w:type="auto"/>
        <w:tblLook w:val="04A0" w:firstRow="1" w:lastRow="0" w:firstColumn="1" w:lastColumn="0" w:noHBand="0" w:noVBand="1"/>
      </w:tblPr>
      <w:tblGrid>
        <w:gridCol w:w="5524"/>
        <w:gridCol w:w="1417"/>
        <w:gridCol w:w="1887"/>
      </w:tblGrid>
      <w:tr w:rsidR="008E1C89" w:rsidTr="00D535CE">
        <w:tc>
          <w:tcPr>
            <w:tcW w:w="5524" w:type="dxa"/>
          </w:tcPr>
          <w:p w:rsidR="008E1C89" w:rsidRDefault="008E1C89" w:rsidP="003F1E7E">
            <w:pPr>
              <w:autoSpaceDE w:val="0"/>
              <w:autoSpaceDN w:val="0"/>
              <w:adjustRightInd w:val="0"/>
              <w:jc w:val="center"/>
              <w:rPr>
                <w:rFonts w:ascii="Arial" w:hAnsi="Arial" w:cs="Arial"/>
                <w:sz w:val="18"/>
                <w:szCs w:val="18"/>
              </w:rPr>
            </w:pPr>
            <w:r>
              <w:rPr>
                <w:rFonts w:ascii="Arial" w:hAnsi="Arial" w:cs="Arial"/>
                <w:sz w:val="18"/>
                <w:szCs w:val="18"/>
              </w:rPr>
              <w:t>Etapas</w:t>
            </w:r>
          </w:p>
        </w:tc>
        <w:tc>
          <w:tcPr>
            <w:tcW w:w="1417" w:type="dxa"/>
          </w:tcPr>
          <w:p w:rsidR="008E1C89" w:rsidRDefault="008E1C89" w:rsidP="003F1E7E">
            <w:pPr>
              <w:autoSpaceDE w:val="0"/>
              <w:autoSpaceDN w:val="0"/>
              <w:adjustRightInd w:val="0"/>
              <w:jc w:val="center"/>
              <w:rPr>
                <w:rFonts w:ascii="Arial" w:hAnsi="Arial" w:cs="Arial"/>
                <w:sz w:val="18"/>
                <w:szCs w:val="18"/>
              </w:rPr>
            </w:pPr>
            <w:r>
              <w:rPr>
                <w:rFonts w:ascii="Arial" w:hAnsi="Arial" w:cs="Arial"/>
                <w:sz w:val="18"/>
                <w:szCs w:val="18"/>
              </w:rPr>
              <w:t>GCOI</w:t>
            </w:r>
          </w:p>
        </w:tc>
        <w:tc>
          <w:tcPr>
            <w:tcW w:w="1887" w:type="dxa"/>
          </w:tcPr>
          <w:p w:rsidR="008E1C89" w:rsidRDefault="008E1C89" w:rsidP="003F1E7E">
            <w:pPr>
              <w:autoSpaceDE w:val="0"/>
              <w:autoSpaceDN w:val="0"/>
              <w:adjustRightInd w:val="0"/>
              <w:jc w:val="center"/>
              <w:rPr>
                <w:rFonts w:ascii="Arial" w:hAnsi="Arial" w:cs="Arial"/>
                <w:sz w:val="18"/>
                <w:szCs w:val="18"/>
              </w:rPr>
            </w:pPr>
            <w:r>
              <w:rPr>
                <w:rFonts w:ascii="Arial" w:hAnsi="Arial" w:cs="Arial"/>
                <w:sz w:val="18"/>
                <w:szCs w:val="18"/>
              </w:rPr>
              <w:t>GCPS</w:t>
            </w:r>
          </w:p>
        </w:tc>
      </w:tr>
      <w:tr w:rsidR="008E1C89" w:rsidTr="00D535CE">
        <w:tc>
          <w:tcPr>
            <w:tcW w:w="5524" w:type="dxa"/>
          </w:tcPr>
          <w:p w:rsidR="008E1C89" w:rsidRDefault="008E1C89" w:rsidP="003F1E7E">
            <w:pPr>
              <w:autoSpaceDE w:val="0"/>
              <w:autoSpaceDN w:val="0"/>
              <w:adjustRightInd w:val="0"/>
              <w:jc w:val="center"/>
              <w:rPr>
                <w:rFonts w:ascii="Arial" w:hAnsi="Arial" w:cs="Arial"/>
                <w:sz w:val="18"/>
                <w:szCs w:val="18"/>
              </w:rPr>
            </w:pPr>
            <w:r>
              <w:rPr>
                <w:rFonts w:ascii="Arial" w:hAnsi="Arial" w:cs="Arial"/>
                <w:sz w:val="18"/>
                <w:szCs w:val="18"/>
              </w:rPr>
              <w:t>Rateio da  Oferta de Energia</w:t>
            </w:r>
          </w:p>
        </w:tc>
        <w:tc>
          <w:tcPr>
            <w:tcW w:w="1417" w:type="dxa"/>
          </w:tcPr>
          <w:p w:rsidR="008E1C89" w:rsidRDefault="008E1C89" w:rsidP="003F1E7E">
            <w:pPr>
              <w:autoSpaceDE w:val="0"/>
              <w:autoSpaceDN w:val="0"/>
              <w:adjustRightInd w:val="0"/>
              <w:jc w:val="center"/>
              <w:rPr>
                <w:rFonts w:ascii="Arial" w:hAnsi="Arial" w:cs="Arial"/>
                <w:sz w:val="18"/>
                <w:szCs w:val="18"/>
              </w:rPr>
            </w:pPr>
            <w:r>
              <w:rPr>
                <w:rFonts w:ascii="Arial" w:hAnsi="Arial" w:cs="Arial"/>
                <w:sz w:val="18"/>
                <w:szCs w:val="18"/>
              </w:rPr>
              <w:t>BACUS</w:t>
            </w:r>
          </w:p>
        </w:tc>
        <w:tc>
          <w:tcPr>
            <w:tcW w:w="1887" w:type="dxa"/>
          </w:tcPr>
          <w:p w:rsidR="008E1C89" w:rsidRDefault="008E1C89" w:rsidP="003F1E7E">
            <w:pPr>
              <w:autoSpaceDE w:val="0"/>
              <w:autoSpaceDN w:val="0"/>
              <w:adjustRightInd w:val="0"/>
              <w:jc w:val="center"/>
              <w:rPr>
                <w:rFonts w:ascii="Arial" w:hAnsi="Arial" w:cs="Arial"/>
                <w:sz w:val="18"/>
                <w:szCs w:val="18"/>
              </w:rPr>
            </w:pPr>
            <w:r>
              <w:rPr>
                <w:rFonts w:ascii="Arial" w:hAnsi="Arial" w:cs="Arial"/>
                <w:sz w:val="18"/>
                <w:szCs w:val="18"/>
              </w:rPr>
              <w:t>MSSSE</w:t>
            </w:r>
          </w:p>
        </w:tc>
      </w:tr>
      <w:tr w:rsidR="008E1C89" w:rsidTr="00D535CE">
        <w:tc>
          <w:tcPr>
            <w:tcW w:w="5524" w:type="dxa"/>
          </w:tcPr>
          <w:p w:rsidR="008E1C89" w:rsidRDefault="008E1C89" w:rsidP="003F1E7E">
            <w:pPr>
              <w:autoSpaceDE w:val="0"/>
              <w:autoSpaceDN w:val="0"/>
              <w:adjustRightInd w:val="0"/>
              <w:jc w:val="center"/>
              <w:rPr>
                <w:rFonts w:ascii="Arial" w:hAnsi="Arial" w:cs="Arial"/>
                <w:sz w:val="18"/>
                <w:szCs w:val="18"/>
              </w:rPr>
            </w:pPr>
            <w:r>
              <w:rPr>
                <w:rFonts w:ascii="Arial" w:hAnsi="Arial" w:cs="Arial"/>
                <w:sz w:val="18"/>
                <w:szCs w:val="18"/>
              </w:rPr>
              <w:t xml:space="preserve">Rateio da Energia </w:t>
            </w:r>
            <w:r w:rsidR="00D535CE">
              <w:rPr>
                <w:rFonts w:ascii="Arial" w:hAnsi="Arial" w:cs="Arial"/>
                <w:sz w:val="18"/>
                <w:szCs w:val="18"/>
              </w:rPr>
              <w:t>entre os diversos tipos de fonte de geração</w:t>
            </w:r>
          </w:p>
        </w:tc>
        <w:tc>
          <w:tcPr>
            <w:tcW w:w="1417" w:type="dxa"/>
          </w:tcPr>
          <w:p w:rsidR="008E1C89" w:rsidRDefault="008E1C89" w:rsidP="003F1E7E">
            <w:pPr>
              <w:autoSpaceDE w:val="0"/>
              <w:autoSpaceDN w:val="0"/>
              <w:adjustRightInd w:val="0"/>
              <w:jc w:val="center"/>
              <w:rPr>
                <w:rFonts w:ascii="Arial" w:hAnsi="Arial" w:cs="Arial"/>
                <w:sz w:val="18"/>
                <w:szCs w:val="18"/>
              </w:rPr>
            </w:pPr>
            <w:r>
              <w:rPr>
                <w:rFonts w:ascii="Arial" w:hAnsi="Arial" w:cs="Arial"/>
                <w:sz w:val="18"/>
                <w:szCs w:val="18"/>
              </w:rPr>
              <w:t>BACUS</w:t>
            </w:r>
          </w:p>
        </w:tc>
        <w:tc>
          <w:tcPr>
            <w:tcW w:w="1887" w:type="dxa"/>
          </w:tcPr>
          <w:p w:rsidR="008E1C89" w:rsidRDefault="008E1C89" w:rsidP="003F1E7E">
            <w:pPr>
              <w:autoSpaceDE w:val="0"/>
              <w:autoSpaceDN w:val="0"/>
              <w:adjustRightInd w:val="0"/>
              <w:jc w:val="center"/>
              <w:rPr>
                <w:rFonts w:ascii="Arial" w:hAnsi="Arial" w:cs="Arial"/>
                <w:sz w:val="18"/>
                <w:szCs w:val="18"/>
              </w:rPr>
            </w:pPr>
            <w:r>
              <w:rPr>
                <w:rFonts w:ascii="Arial" w:hAnsi="Arial" w:cs="Arial"/>
                <w:sz w:val="18"/>
                <w:szCs w:val="18"/>
              </w:rPr>
              <w:t>MSSSE</w:t>
            </w:r>
          </w:p>
        </w:tc>
      </w:tr>
      <w:tr w:rsidR="00D535CE" w:rsidTr="00D535CE">
        <w:tc>
          <w:tcPr>
            <w:tcW w:w="5524" w:type="dxa"/>
          </w:tcPr>
          <w:p w:rsidR="00D535CE" w:rsidRDefault="00D535CE" w:rsidP="003F1E7E">
            <w:pPr>
              <w:autoSpaceDE w:val="0"/>
              <w:autoSpaceDN w:val="0"/>
              <w:adjustRightInd w:val="0"/>
              <w:jc w:val="center"/>
              <w:rPr>
                <w:rFonts w:ascii="Arial" w:hAnsi="Arial" w:cs="Arial"/>
                <w:sz w:val="18"/>
                <w:szCs w:val="18"/>
              </w:rPr>
            </w:pPr>
            <w:r>
              <w:rPr>
                <w:rFonts w:ascii="Arial" w:hAnsi="Arial" w:cs="Arial"/>
                <w:sz w:val="18"/>
                <w:szCs w:val="18"/>
              </w:rPr>
              <w:t>Rateio para UHEs</w:t>
            </w:r>
          </w:p>
        </w:tc>
        <w:tc>
          <w:tcPr>
            <w:tcW w:w="1417" w:type="dxa"/>
          </w:tcPr>
          <w:p w:rsidR="00D535CE" w:rsidRDefault="00D535CE" w:rsidP="003F1E7E">
            <w:pPr>
              <w:autoSpaceDE w:val="0"/>
              <w:autoSpaceDN w:val="0"/>
              <w:adjustRightInd w:val="0"/>
              <w:jc w:val="center"/>
              <w:rPr>
                <w:rFonts w:ascii="Arial" w:hAnsi="Arial" w:cs="Arial"/>
                <w:sz w:val="18"/>
                <w:szCs w:val="18"/>
              </w:rPr>
            </w:pPr>
            <w:r>
              <w:rPr>
                <w:rFonts w:ascii="Arial" w:hAnsi="Arial" w:cs="Arial"/>
                <w:sz w:val="18"/>
                <w:szCs w:val="18"/>
              </w:rPr>
              <w:t>BACUS</w:t>
            </w:r>
          </w:p>
          <w:p w:rsidR="00D535CE" w:rsidRDefault="00D535CE" w:rsidP="003F1E7E">
            <w:pPr>
              <w:autoSpaceDE w:val="0"/>
              <w:autoSpaceDN w:val="0"/>
              <w:adjustRightInd w:val="0"/>
              <w:jc w:val="center"/>
              <w:rPr>
                <w:rFonts w:ascii="Arial" w:hAnsi="Arial" w:cs="Arial"/>
                <w:sz w:val="18"/>
                <w:szCs w:val="18"/>
              </w:rPr>
            </w:pPr>
            <w:r>
              <w:rPr>
                <w:rFonts w:ascii="Arial" w:hAnsi="Arial" w:cs="Arial"/>
                <w:sz w:val="18"/>
                <w:szCs w:val="18"/>
              </w:rPr>
              <w:t>OPUS</w:t>
            </w:r>
          </w:p>
        </w:tc>
        <w:tc>
          <w:tcPr>
            <w:tcW w:w="1887" w:type="dxa"/>
          </w:tcPr>
          <w:p w:rsidR="00D535CE" w:rsidRDefault="00D535CE" w:rsidP="003F1E7E">
            <w:pPr>
              <w:autoSpaceDE w:val="0"/>
              <w:autoSpaceDN w:val="0"/>
              <w:adjustRightInd w:val="0"/>
              <w:jc w:val="center"/>
              <w:rPr>
                <w:rFonts w:ascii="Arial" w:hAnsi="Arial" w:cs="Arial"/>
                <w:sz w:val="18"/>
                <w:szCs w:val="18"/>
              </w:rPr>
            </w:pPr>
            <w:r>
              <w:rPr>
                <w:rFonts w:ascii="Arial" w:hAnsi="Arial" w:cs="Arial"/>
                <w:sz w:val="18"/>
                <w:szCs w:val="18"/>
              </w:rPr>
              <w:t>MSSSE</w:t>
            </w:r>
          </w:p>
          <w:p w:rsidR="00D535CE" w:rsidRDefault="00D535CE" w:rsidP="003F1E7E">
            <w:pPr>
              <w:autoSpaceDE w:val="0"/>
              <w:autoSpaceDN w:val="0"/>
              <w:adjustRightInd w:val="0"/>
              <w:jc w:val="center"/>
              <w:rPr>
                <w:rFonts w:ascii="Arial" w:hAnsi="Arial" w:cs="Arial"/>
                <w:sz w:val="18"/>
                <w:szCs w:val="18"/>
              </w:rPr>
            </w:pPr>
            <w:r>
              <w:rPr>
                <w:rFonts w:ascii="Arial" w:hAnsi="Arial" w:cs="Arial"/>
                <w:sz w:val="18"/>
                <w:szCs w:val="18"/>
              </w:rPr>
              <w:t>MSUI</w:t>
            </w:r>
          </w:p>
        </w:tc>
      </w:tr>
    </w:tbl>
    <w:p w:rsidR="008E1C89" w:rsidRDefault="008E1C89" w:rsidP="0013594F">
      <w:pPr>
        <w:autoSpaceDE w:val="0"/>
        <w:autoSpaceDN w:val="0"/>
        <w:adjustRightInd w:val="0"/>
        <w:jc w:val="both"/>
        <w:rPr>
          <w:rFonts w:ascii="Arial" w:hAnsi="Arial" w:cs="Arial"/>
          <w:sz w:val="18"/>
          <w:szCs w:val="18"/>
        </w:rPr>
      </w:pPr>
      <w:r>
        <w:rPr>
          <w:rFonts w:ascii="Arial" w:hAnsi="Arial" w:cs="Arial"/>
          <w:sz w:val="18"/>
          <w:szCs w:val="18"/>
        </w:rPr>
        <w:t xml:space="preserve"> </w:t>
      </w:r>
    </w:p>
    <w:p w:rsidR="003F5CDC" w:rsidRDefault="009F28E9" w:rsidP="003F1E7E">
      <w:pPr>
        <w:autoSpaceDE w:val="0"/>
        <w:autoSpaceDN w:val="0"/>
        <w:adjustRightInd w:val="0"/>
        <w:spacing w:line="360" w:lineRule="auto"/>
        <w:jc w:val="both"/>
        <w:rPr>
          <w:rFonts w:ascii="Arial" w:hAnsi="Arial" w:cs="Arial"/>
          <w:sz w:val="18"/>
          <w:szCs w:val="18"/>
        </w:rPr>
      </w:pPr>
      <w:r>
        <w:rPr>
          <w:rFonts w:ascii="Arial" w:hAnsi="Arial" w:cs="Arial"/>
          <w:sz w:val="18"/>
          <w:szCs w:val="18"/>
        </w:rPr>
        <w:t xml:space="preserve"> </w:t>
      </w:r>
      <w:r w:rsidR="009D6855">
        <w:rPr>
          <w:rFonts w:ascii="Arial" w:hAnsi="Arial" w:cs="Arial"/>
          <w:sz w:val="18"/>
          <w:szCs w:val="18"/>
        </w:rPr>
        <w:t>As Figuras (3) e (4</w:t>
      </w:r>
      <w:r w:rsidR="00FD67E5">
        <w:rPr>
          <w:rFonts w:ascii="Arial" w:hAnsi="Arial" w:cs="Arial"/>
          <w:sz w:val="18"/>
          <w:szCs w:val="18"/>
        </w:rPr>
        <w:t>) reproduzem imagens encontradas em [14 e 15].referentes  aos fluxogramas das etapas de rateio de energia utilizados pelo GCPs e GCOI, respectivamente</w:t>
      </w:r>
      <w:r w:rsidR="003F1E7E">
        <w:rPr>
          <w:rFonts w:ascii="Arial" w:hAnsi="Arial" w:cs="Arial"/>
          <w:sz w:val="18"/>
          <w:szCs w:val="18"/>
        </w:rPr>
        <w:t>.</w:t>
      </w:r>
      <w:r w:rsidR="00FD67E5">
        <w:rPr>
          <w:rFonts w:ascii="Arial" w:hAnsi="Arial" w:cs="Arial"/>
          <w:sz w:val="18"/>
          <w:szCs w:val="18"/>
        </w:rPr>
        <w:t xml:space="preserve"> </w:t>
      </w:r>
    </w:p>
    <w:p w:rsidR="007C6D89" w:rsidRDefault="007C6D89" w:rsidP="0013594F">
      <w:pPr>
        <w:autoSpaceDE w:val="0"/>
        <w:autoSpaceDN w:val="0"/>
        <w:adjustRightInd w:val="0"/>
        <w:jc w:val="both"/>
        <w:rPr>
          <w:rFonts w:ascii="Arial" w:hAnsi="Arial" w:cs="Arial"/>
          <w:sz w:val="18"/>
          <w:szCs w:val="18"/>
        </w:rPr>
      </w:pPr>
    </w:p>
    <w:p w:rsidR="007C6D89" w:rsidRDefault="007C6D89" w:rsidP="0013594F">
      <w:pPr>
        <w:autoSpaceDE w:val="0"/>
        <w:autoSpaceDN w:val="0"/>
        <w:adjustRightInd w:val="0"/>
        <w:jc w:val="both"/>
        <w:rPr>
          <w:rFonts w:ascii="Arial" w:hAnsi="Arial" w:cs="Arial"/>
          <w:sz w:val="18"/>
          <w:szCs w:val="18"/>
        </w:rPr>
      </w:pPr>
    </w:p>
    <w:p w:rsidR="007C6D89" w:rsidRDefault="007C6D89" w:rsidP="0013594F">
      <w:pPr>
        <w:autoSpaceDE w:val="0"/>
        <w:autoSpaceDN w:val="0"/>
        <w:adjustRightInd w:val="0"/>
        <w:jc w:val="both"/>
        <w:rPr>
          <w:rFonts w:ascii="Arial" w:hAnsi="Arial" w:cs="Arial"/>
          <w:sz w:val="18"/>
          <w:szCs w:val="18"/>
        </w:rPr>
      </w:pPr>
      <w:r w:rsidRPr="007C6D89">
        <w:rPr>
          <w:rFonts w:ascii="Arial" w:hAnsi="Arial" w:cs="Arial"/>
          <w:noProof/>
          <w:sz w:val="18"/>
          <w:szCs w:val="18"/>
        </w:rPr>
        <w:lastRenderedPageBreak/>
        <w:drawing>
          <wp:inline distT="0" distB="0" distL="0" distR="0">
            <wp:extent cx="6111240" cy="5806440"/>
            <wp:effectExtent l="0" t="0" r="3810" b="3810"/>
            <wp:docPr id="3" name="Imagem 3" descr="C:\modernização do setor elétrico brasiliero\figura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modernização do setor elétrico brasiliero\figura 3.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6113123" cy="5808229"/>
                    </a:xfrm>
                    <a:prstGeom prst="rect">
                      <a:avLst/>
                    </a:prstGeom>
                    <a:noFill/>
                    <a:ln>
                      <a:noFill/>
                    </a:ln>
                  </pic:spPr>
                </pic:pic>
              </a:graphicData>
            </a:graphic>
          </wp:inline>
        </w:drawing>
      </w:r>
    </w:p>
    <w:p w:rsidR="007C6D89" w:rsidRPr="009F28E9" w:rsidRDefault="007C6D89" w:rsidP="007C6D89">
      <w:pPr>
        <w:autoSpaceDE w:val="0"/>
        <w:autoSpaceDN w:val="0"/>
        <w:adjustRightInd w:val="0"/>
        <w:jc w:val="center"/>
        <w:rPr>
          <w:rFonts w:ascii="Arial" w:hAnsi="Arial" w:cs="Arial"/>
          <w:sz w:val="18"/>
          <w:szCs w:val="18"/>
        </w:rPr>
      </w:pPr>
      <w:r>
        <w:rPr>
          <w:rFonts w:ascii="Arial" w:hAnsi="Arial" w:cs="Arial"/>
          <w:sz w:val="18"/>
          <w:szCs w:val="18"/>
        </w:rPr>
        <w:t>Figura 4</w:t>
      </w:r>
    </w:p>
    <w:p w:rsidR="00473A26" w:rsidRPr="00D90FFC" w:rsidRDefault="00FD67E5" w:rsidP="00473A26">
      <w:pPr>
        <w:pStyle w:val="Ttulo2"/>
        <w:rPr>
          <w:b w:val="0"/>
          <w:i w:val="0"/>
          <w:sz w:val="18"/>
          <w:szCs w:val="18"/>
        </w:rPr>
      </w:pPr>
      <w:r w:rsidRPr="00FD67E5">
        <w:rPr>
          <w:b w:val="0"/>
          <w:i w:val="0"/>
          <w:noProof/>
          <w:sz w:val="18"/>
          <w:szCs w:val="18"/>
        </w:rPr>
        <w:lastRenderedPageBreak/>
        <w:drawing>
          <wp:inline distT="0" distB="0" distL="0" distR="0">
            <wp:extent cx="5611810" cy="6751320"/>
            <wp:effectExtent l="0" t="0" r="8255" b="0"/>
            <wp:docPr id="4" name="Imagem 4" descr="C:\modernização do setor elétrico brasiliero\figura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modernização do setor elétrico brasiliero\figura 5.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614335" cy="6754358"/>
                    </a:xfrm>
                    <a:prstGeom prst="rect">
                      <a:avLst/>
                    </a:prstGeom>
                    <a:noFill/>
                    <a:ln>
                      <a:noFill/>
                    </a:ln>
                  </pic:spPr>
                </pic:pic>
              </a:graphicData>
            </a:graphic>
          </wp:inline>
        </w:drawing>
      </w:r>
    </w:p>
    <w:p w:rsidR="00A72759" w:rsidRDefault="00FD67E5" w:rsidP="00FD67E5">
      <w:pPr>
        <w:jc w:val="center"/>
      </w:pPr>
      <w:r>
        <w:t>Figura 5</w:t>
      </w:r>
    </w:p>
    <w:p w:rsidR="00A72759" w:rsidRDefault="00A72759" w:rsidP="00FD67E5"/>
    <w:p w:rsidR="00FD67E5" w:rsidRDefault="00FD67E5" w:rsidP="00FD67E5"/>
    <w:p w:rsidR="00FD67E5" w:rsidRDefault="00FD67E5" w:rsidP="00FD67E5"/>
    <w:p w:rsidR="00FD67E5" w:rsidRDefault="00FD67E5" w:rsidP="00FD67E5"/>
    <w:p w:rsidR="00FD67E5" w:rsidRDefault="00FD67E5">
      <w:pPr>
        <w:rPr>
          <w:rFonts w:ascii="Arial" w:hAnsi="Arial" w:cs="Arial"/>
          <w:sz w:val="18"/>
          <w:szCs w:val="18"/>
        </w:rPr>
      </w:pPr>
      <w:r>
        <w:rPr>
          <w:rFonts w:ascii="Arial" w:hAnsi="Arial" w:cs="Arial"/>
          <w:sz w:val="18"/>
          <w:szCs w:val="18"/>
        </w:rPr>
        <w:br w:type="page"/>
      </w:r>
    </w:p>
    <w:p w:rsidR="00FD67E5" w:rsidRDefault="00FD67E5" w:rsidP="00FD67E5">
      <w:pPr>
        <w:autoSpaceDE w:val="0"/>
        <w:autoSpaceDN w:val="0"/>
        <w:adjustRightInd w:val="0"/>
        <w:jc w:val="both"/>
        <w:rPr>
          <w:rFonts w:ascii="Arial" w:hAnsi="Arial" w:cs="Arial"/>
          <w:sz w:val="18"/>
          <w:szCs w:val="18"/>
        </w:rPr>
      </w:pPr>
      <w:r>
        <w:rPr>
          <w:rFonts w:ascii="Arial" w:hAnsi="Arial" w:cs="Arial"/>
          <w:sz w:val="18"/>
          <w:szCs w:val="18"/>
        </w:rPr>
        <w:lastRenderedPageBreak/>
        <w:t>3.7.8 Rateio de Sobras e Déficits</w:t>
      </w:r>
    </w:p>
    <w:p w:rsidR="00A91983" w:rsidRDefault="00A91983" w:rsidP="00FD67E5">
      <w:pPr>
        <w:autoSpaceDE w:val="0"/>
        <w:autoSpaceDN w:val="0"/>
        <w:adjustRightInd w:val="0"/>
        <w:jc w:val="both"/>
        <w:rPr>
          <w:rFonts w:ascii="Arial" w:hAnsi="Arial" w:cs="Arial"/>
          <w:sz w:val="18"/>
          <w:szCs w:val="18"/>
        </w:rPr>
      </w:pPr>
    </w:p>
    <w:p w:rsidR="00FD67E5" w:rsidRDefault="00FD67E5" w:rsidP="003F1E7E">
      <w:pPr>
        <w:autoSpaceDE w:val="0"/>
        <w:autoSpaceDN w:val="0"/>
        <w:adjustRightInd w:val="0"/>
        <w:spacing w:line="360" w:lineRule="auto"/>
        <w:jc w:val="both"/>
        <w:rPr>
          <w:rFonts w:ascii="Arial" w:hAnsi="Arial" w:cs="Arial"/>
          <w:sz w:val="18"/>
          <w:szCs w:val="18"/>
        </w:rPr>
      </w:pPr>
      <w:r>
        <w:rPr>
          <w:rFonts w:ascii="Arial" w:hAnsi="Arial" w:cs="Arial"/>
          <w:sz w:val="18"/>
          <w:szCs w:val="18"/>
        </w:rPr>
        <w:t>A oferta de energia garantida de cada empresa é a soma das energias garantidas das usinas que a compõe. Caso haja desequilíbrio entre oferta e demanda deverá haver um processo de fechamento, em nível de planejamento, cujas possibilidade são duas:</w:t>
      </w:r>
    </w:p>
    <w:p w:rsidR="00FD67E5" w:rsidRDefault="00FD67E5" w:rsidP="003F1E7E">
      <w:pPr>
        <w:autoSpaceDE w:val="0"/>
        <w:autoSpaceDN w:val="0"/>
        <w:adjustRightInd w:val="0"/>
        <w:spacing w:line="360" w:lineRule="auto"/>
        <w:jc w:val="both"/>
        <w:rPr>
          <w:rFonts w:ascii="Arial" w:hAnsi="Arial" w:cs="Arial"/>
          <w:sz w:val="18"/>
          <w:szCs w:val="18"/>
        </w:rPr>
      </w:pPr>
    </w:p>
    <w:p w:rsidR="00FD67E5" w:rsidRDefault="00FD67E5" w:rsidP="003F1E7E">
      <w:pPr>
        <w:autoSpaceDE w:val="0"/>
        <w:autoSpaceDN w:val="0"/>
        <w:adjustRightInd w:val="0"/>
        <w:spacing w:line="360" w:lineRule="auto"/>
        <w:jc w:val="both"/>
        <w:rPr>
          <w:rFonts w:ascii="Arial" w:hAnsi="Arial" w:cs="Arial"/>
          <w:sz w:val="18"/>
          <w:szCs w:val="18"/>
        </w:rPr>
      </w:pPr>
      <w:r>
        <w:rPr>
          <w:rFonts w:ascii="Arial" w:hAnsi="Arial" w:cs="Arial"/>
          <w:sz w:val="18"/>
          <w:szCs w:val="18"/>
        </w:rPr>
        <w:t>i) Oferta maior que o mercado – diferença deverá ser rateada entre as empresas proporcionalmente às respectivas ofertas.</w:t>
      </w:r>
    </w:p>
    <w:p w:rsidR="00FD67E5" w:rsidRDefault="00FD67E5" w:rsidP="003F1E7E">
      <w:pPr>
        <w:autoSpaceDE w:val="0"/>
        <w:autoSpaceDN w:val="0"/>
        <w:adjustRightInd w:val="0"/>
        <w:spacing w:line="360" w:lineRule="auto"/>
        <w:jc w:val="both"/>
        <w:rPr>
          <w:rFonts w:ascii="Arial" w:hAnsi="Arial" w:cs="Arial"/>
          <w:sz w:val="18"/>
          <w:szCs w:val="18"/>
        </w:rPr>
      </w:pPr>
    </w:p>
    <w:p w:rsidR="00FD67E5" w:rsidRDefault="00FD67E5" w:rsidP="003F1E7E">
      <w:pPr>
        <w:autoSpaceDE w:val="0"/>
        <w:autoSpaceDN w:val="0"/>
        <w:adjustRightInd w:val="0"/>
        <w:spacing w:line="360" w:lineRule="auto"/>
        <w:jc w:val="both"/>
        <w:rPr>
          <w:rFonts w:ascii="Arial" w:hAnsi="Arial" w:cs="Arial"/>
          <w:sz w:val="18"/>
          <w:szCs w:val="18"/>
        </w:rPr>
      </w:pPr>
      <w:r>
        <w:rPr>
          <w:rFonts w:ascii="Arial" w:hAnsi="Arial" w:cs="Arial"/>
          <w:sz w:val="18"/>
          <w:szCs w:val="18"/>
        </w:rPr>
        <w:t>ii) Oferta menor que o mercado – diferença deverá ser rateada entre as empresas proporcionalmente aos respectivos mercados.</w:t>
      </w:r>
    </w:p>
    <w:p w:rsidR="00FD67E5" w:rsidRDefault="00FD67E5" w:rsidP="00FD67E5">
      <w:pPr>
        <w:autoSpaceDE w:val="0"/>
        <w:autoSpaceDN w:val="0"/>
        <w:adjustRightInd w:val="0"/>
        <w:jc w:val="both"/>
        <w:rPr>
          <w:rFonts w:ascii="Arial" w:hAnsi="Arial" w:cs="Arial"/>
          <w:sz w:val="18"/>
          <w:szCs w:val="18"/>
        </w:rPr>
      </w:pPr>
    </w:p>
    <w:p w:rsidR="00FD67E5" w:rsidRDefault="00FD67E5" w:rsidP="00FD67E5">
      <w:pPr>
        <w:autoSpaceDE w:val="0"/>
        <w:autoSpaceDN w:val="0"/>
        <w:adjustRightInd w:val="0"/>
        <w:jc w:val="both"/>
        <w:rPr>
          <w:rFonts w:ascii="Arial" w:hAnsi="Arial" w:cs="Arial"/>
          <w:sz w:val="18"/>
          <w:szCs w:val="18"/>
        </w:rPr>
      </w:pPr>
    </w:p>
    <w:p w:rsidR="00FD67E5" w:rsidRDefault="00FD67E5" w:rsidP="00FD67E5">
      <w:pPr>
        <w:autoSpaceDE w:val="0"/>
        <w:autoSpaceDN w:val="0"/>
        <w:adjustRightInd w:val="0"/>
        <w:jc w:val="both"/>
        <w:rPr>
          <w:rFonts w:ascii="Arial" w:hAnsi="Arial" w:cs="Arial"/>
          <w:sz w:val="18"/>
          <w:szCs w:val="18"/>
        </w:rPr>
      </w:pPr>
      <w:r>
        <w:rPr>
          <w:rFonts w:ascii="Arial" w:hAnsi="Arial" w:cs="Arial"/>
          <w:sz w:val="18"/>
          <w:szCs w:val="18"/>
        </w:rPr>
        <w:t xml:space="preserve">3.8 Disponibilidade de Geração de Usinas Hidroelétricas e Termelétricas – </w:t>
      </w:r>
      <w:r w:rsidR="009D2564">
        <w:rPr>
          <w:rFonts w:ascii="Arial" w:hAnsi="Arial" w:cs="Arial"/>
          <w:sz w:val="18"/>
          <w:szCs w:val="18"/>
        </w:rPr>
        <w:t>Energia e Potência Asseguradas</w:t>
      </w:r>
    </w:p>
    <w:p w:rsidR="00FD67E5" w:rsidRDefault="00FD67E5" w:rsidP="00FD67E5">
      <w:pPr>
        <w:autoSpaceDE w:val="0"/>
        <w:autoSpaceDN w:val="0"/>
        <w:adjustRightInd w:val="0"/>
        <w:jc w:val="both"/>
        <w:rPr>
          <w:rFonts w:ascii="Arial" w:hAnsi="Arial" w:cs="Arial"/>
          <w:sz w:val="18"/>
          <w:szCs w:val="18"/>
        </w:rPr>
      </w:pPr>
    </w:p>
    <w:p w:rsidR="00A91983" w:rsidRDefault="00A91983" w:rsidP="003F1E7E">
      <w:pPr>
        <w:autoSpaceDE w:val="0"/>
        <w:autoSpaceDN w:val="0"/>
        <w:adjustRightInd w:val="0"/>
        <w:spacing w:line="360" w:lineRule="auto"/>
        <w:jc w:val="both"/>
        <w:rPr>
          <w:rFonts w:ascii="Arial" w:hAnsi="Arial" w:cs="Arial"/>
          <w:sz w:val="18"/>
          <w:szCs w:val="18"/>
        </w:rPr>
      </w:pPr>
      <w:r>
        <w:rPr>
          <w:rFonts w:ascii="Arial" w:hAnsi="Arial" w:cs="Arial"/>
          <w:sz w:val="18"/>
          <w:szCs w:val="18"/>
        </w:rPr>
        <w:t>Na década de 1990 os procedimento</w:t>
      </w:r>
      <w:r w:rsidR="003F1E7E">
        <w:rPr>
          <w:rFonts w:ascii="Arial" w:hAnsi="Arial" w:cs="Arial"/>
          <w:sz w:val="18"/>
          <w:szCs w:val="18"/>
        </w:rPr>
        <w:t>s</w:t>
      </w:r>
      <w:r>
        <w:rPr>
          <w:rFonts w:ascii="Arial" w:hAnsi="Arial" w:cs="Arial"/>
          <w:sz w:val="18"/>
          <w:szCs w:val="18"/>
        </w:rPr>
        <w:t xml:space="preserve"> de cálculo de energia garantida sofreram simplificações dada a necessidadede reprodutibilidade dos resultados num ambiente que propunha maior competitividade nos segmentos de geração e comercialização</w:t>
      </w:r>
      <w:r w:rsidR="00480096">
        <w:rPr>
          <w:rFonts w:ascii="Arial" w:hAnsi="Arial" w:cs="Arial"/>
          <w:sz w:val="18"/>
          <w:szCs w:val="18"/>
        </w:rPr>
        <w:t>. [1</w:t>
      </w:r>
      <w:r w:rsidR="00B05A3D">
        <w:rPr>
          <w:rFonts w:ascii="Arial" w:hAnsi="Arial" w:cs="Arial"/>
          <w:sz w:val="18"/>
          <w:szCs w:val="18"/>
        </w:rPr>
        <w:t>6</w:t>
      </w:r>
      <w:r w:rsidR="00B8412B">
        <w:rPr>
          <w:rFonts w:ascii="Arial" w:hAnsi="Arial" w:cs="Arial"/>
          <w:sz w:val="18"/>
          <w:szCs w:val="18"/>
        </w:rPr>
        <w:t xml:space="preserve"> e 17</w:t>
      </w:r>
      <w:r w:rsidR="00480096">
        <w:rPr>
          <w:rFonts w:ascii="Arial" w:hAnsi="Arial" w:cs="Arial"/>
          <w:sz w:val="18"/>
          <w:szCs w:val="18"/>
        </w:rPr>
        <w:t>] apresenta</w:t>
      </w:r>
      <w:r w:rsidR="003F1E7E">
        <w:rPr>
          <w:rFonts w:ascii="Arial" w:hAnsi="Arial" w:cs="Arial"/>
          <w:sz w:val="18"/>
          <w:szCs w:val="18"/>
        </w:rPr>
        <w:t>m</w:t>
      </w:r>
      <w:r w:rsidR="00480096">
        <w:rPr>
          <w:rFonts w:ascii="Arial" w:hAnsi="Arial" w:cs="Arial"/>
          <w:sz w:val="18"/>
          <w:szCs w:val="18"/>
        </w:rPr>
        <w:t xml:space="preserve"> as etapas de</w:t>
      </w:r>
      <w:r>
        <w:rPr>
          <w:rFonts w:ascii="Arial" w:hAnsi="Arial" w:cs="Arial"/>
          <w:sz w:val="18"/>
          <w:szCs w:val="18"/>
        </w:rPr>
        <w:t xml:space="preserve"> cálculo da disponibilidade de geração com base na energia garantida a um </w:t>
      </w:r>
      <w:r w:rsidR="00480096">
        <w:rPr>
          <w:rFonts w:ascii="Arial" w:hAnsi="Arial" w:cs="Arial"/>
          <w:sz w:val="18"/>
          <w:szCs w:val="18"/>
        </w:rPr>
        <w:t xml:space="preserve">nível de risco de 5% a.a.. </w:t>
      </w:r>
      <w:r w:rsidR="007A5DD8">
        <w:rPr>
          <w:rFonts w:ascii="Arial" w:hAnsi="Arial" w:cs="Arial"/>
          <w:sz w:val="18"/>
          <w:szCs w:val="18"/>
        </w:rPr>
        <w:t>Cabe então os seguintes comentários:</w:t>
      </w:r>
    </w:p>
    <w:p w:rsidR="00A91983" w:rsidRDefault="00A91983" w:rsidP="003F1E7E">
      <w:pPr>
        <w:autoSpaceDE w:val="0"/>
        <w:autoSpaceDN w:val="0"/>
        <w:adjustRightInd w:val="0"/>
        <w:spacing w:line="360" w:lineRule="auto"/>
        <w:jc w:val="both"/>
        <w:rPr>
          <w:rFonts w:ascii="Arial" w:hAnsi="Arial" w:cs="Arial"/>
          <w:sz w:val="18"/>
          <w:szCs w:val="18"/>
        </w:rPr>
      </w:pPr>
    </w:p>
    <w:p w:rsidR="007A5DD8" w:rsidRDefault="007A5DD8" w:rsidP="003F1E7E">
      <w:pPr>
        <w:autoSpaceDE w:val="0"/>
        <w:autoSpaceDN w:val="0"/>
        <w:adjustRightInd w:val="0"/>
        <w:spacing w:line="360" w:lineRule="auto"/>
        <w:jc w:val="both"/>
        <w:rPr>
          <w:rFonts w:ascii="Arial" w:hAnsi="Arial" w:cs="Arial"/>
          <w:sz w:val="18"/>
          <w:szCs w:val="18"/>
        </w:rPr>
      </w:pPr>
      <w:r>
        <w:rPr>
          <w:rFonts w:ascii="Arial" w:hAnsi="Arial" w:cs="Arial"/>
          <w:sz w:val="18"/>
          <w:szCs w:val="18"/>
        </w:rPr>
        <w:t>i) Inclusão de um novo termo, Energia Assegurada, definida para aproveitamentos hidroelétricos cujo valor é de 100% da energia garantida;</w:t>
      </w:r>
    </w:p>
    <w:p w:rsidR="007A5DD8" w:rsidRDefault="007A5DD8" w:rsidP="003F1E7E">
      <w:pPr>
        <w:autoSpaceDE w:val="0"/>
        <w:autoSpaceDN w:val="0"/>
        <w:adjustRightInd w:val="0"/>
        <w:spacing w:line="360" w:lineRule="auto"/>
        <w:jc w:val="both"/>
        <w:rPr>
          <w:rFonts w:ascii="Arial" w:hAnsi="Arial" w:cs="Arial"/>
          <w:sz w:val="18"/>
          <w:szCs w:val="18"/>
        </w:rPr>
      </w:pPr>
    </w:p>
    <w:p w:rsidR="007A5DD8" w:rsidRDefault="007A5DD8" w:rsidP="003F1E7E">
      <w:pPr>
        <w:autoSpaceDE w:val="0"/>
        <w:autoSpaceDN w:val="0"/>
        <w:adjustRightInd w:val="0"/>
        <w:spacing w:line="360" w:lineRule="auto"/>
        <w:jc w:val="both"/>
        <w:rPr>
          <w:rFonts w:ascii="Arial" w:hAnsi="Arial" w:cs="Arial"/>
          <w:sz w:val="18"/>
          <w:szCs w:val="18"/>
        </w:rPr>
      </w:pPr>
      <w:r>
        <w:rPr>
          <w:rFonts w:ascii="Arial" w:hAnsi="Arial" w:cs="Arial"/>
          <w:sz w:val="18"/>
          <w:szCs w:val="18"/>
        </w:rPr>
        <w:t>ii) Obrigatoriedade que a determinação da oferta de energia seja realizada por meio de uma simulação hidrotérmica com 4 subsistemas interligadose seja empregado o modelo Newave.</w:t>
      </w:r>
    </w:p>
    <w:p w:rsidR="007A5DD8" w:rsidRDefault="007A5DD8" w:rsidP="003F1E7E">
      <w:pPr>
        <w:autoSpaceDE w:val="0"/>
        <w:autoSpaceDN w:val="0"/>
        <w:adjustRightInd w:val="0"/>
        <w:spacing w:line="360" w:lineRule="auto"/>
        <w:jc w:val="both"/>
        <w:rPr>
          <w:rFonts w:ascii="Arial" w:hAnsi="Arial" w:cs="Arial"/>
          <w:sz w:val="18"/>
          <w:szCs w:val="18"/>
        </w:rPr>
      </w:pPr>
    </w:p>
    <w:p w:rsidR="007A5DD8" w:rsidRDefault="007A5DD8" w:rsidP="003F1E7E">
      <w:pPr>
        <w:autoSpaceDE w:val="0"/>
        <w:autoSpaceDN w:val="0"/>
        <w:adjustRightInd w:val="0"/>
        <w:spacing w:line="360" w:lineRule="auto"/>
        <w:jc w:val="both"/>
        <w:rPr>
          <w:rFonts w:ascii="Arial" w:hAnsi="Arial" w:cs="Arial"/>
          <w:sz w:val="18"/>
          <w:szCs w:val="18"/>
        </w:rPr>
      </w:pPr>
      <w:r>
        <w:rPr>
          <w:rFonts w:ascii="Arial" w:hAnsi="Arial" w:cs="Arial"/>
          <w:sz w:val="18"/>
          <w:szCs w:val="18"/>
        </w:rPr>
        <w:t>iii) configuração estática num horizonte de 5 anos, com períodos de estabilização inicial de 10 anos e final de 5 anos.</w:t>
      </w:r>
    </w:p>
    <w:p w:rsidR="007A5DD8" w:rsidRDefault="007A5DD8" w:rsidP="003F1E7E">
      <w:pPr>
        <w:autoSpaceDE w:val="0"/>
        <w:autoSpaceDN w:val="0"/>
        <w:adjustRightInd w:val="0"/>
        <w:spacing w:line="360" w:lineRule="auto"/>
        <w:jc w:val="both"/>
        <w:rPr>
          <w:rFonts w:ascii="Arial" w:hAnsi="Arial" w:cs="Arial"/>
          <w:sz w:val="18"/>
          <w:szCs w:val="18"/>
        </w:rPr>
      </w:pPr>
    </w:p>
    <w:p w:rsidR="007A5DD8" w:rsidRDefault="007A5DD8" w:rsidP="003F1E7E">
      <w:pPr>
        <w:autoSpaceDE w:val="0"/>
        <w:autoSpaceDN w:val="0"/>
        <w:adjustRightInd w:val="0"/>
        <w:spacing w:line="360" w:lineRule="auto"/>
        <w:jc w:val="both"/>
        <w:rPr>
          <w:rFonts w:ascii="Arial" w:hAnsi="Arial" w:cs="Arial"/>
          <w:sz w:val="18"/>
          <w:szCs w:val="18"/>
        </w:rPr>
      </w:pPr>
      <w:r>
        <w:rPr>
          <w:rFonts w:ascii="Arial" w:hAnsi="Arial" w:cs="Arial"/>
          <w:sz w:val="18"/>
          <w:szCs w:val="18"/>
        </w:rPr>
        <w:t>iv) Risco prefixado de 5% (média dos 5 anos) em simulação empregando 2000 séries sintéticas de enegias afluentes.</w:t>
      </w:r>
    </w:p>
    <w:p w:rsidR="004F29B7" w:rsidRDefault="004F29B7" w:rsidP="003F1E7E">
      <w:pPr>
        <w:autoSpaceDE w:val="0"/>
        <w:autoSpaceDN w:val="0"/>
        <w:adjustRightInd w:val="0"/>
        <w:spacing w:line="360" w:lineRule="auto"/>
        <w:jc w:val="both"/>
        <w:rPr>
          <w:rFonts w:ascii="Arial" w:hAnsi="Arial" w:cs="Arial"/>
          <w:sz w:val="18"/>
          <w:szCs w:val="18"/>
        </w:rPr>
      </w:pPr>
    </w:p>
    <w:p w:rsidR="004F29B7" w:rsidRDefault="004F29B7" w:rsidP="003F1E7E">
      <w:pPr>
        <w:pStyle w:val="PargrafodaLista"/>
        <w:autoSpaceDE w:val="0"/>
        <w:autoSpaceDN w:val="0"/>
        <w:adjustRightInd w:val="0"/>
        <w:spacing w:line="360" w:lineRule="auto"/>
        <w:ind w:left="0"/>
        <w:jc w:val="both"/>
        <w:rPr>
          <w:rFonts w:ascii="Arial" w:hAnsi="Arial" w:cs="Arial"/>
          <w:sz w:val="18"/>
          <w:szCs w:val="18"/>
        </w:rPr>
      </w:pPr>
      <w:r>
        <w:rPr>
          <w:rFonts w:ascii="Arial" w:hAnsi="Arial" w:cs="Arial"/>
          <w:sz w:val="18"/>
          <w:szCs w:val="18"/>
        </w:rPr>
        <w:t xml:space="preserve">v) Proporção </w:t>
      </w:r>
      <w:r w:rsidR="0057791C">
        <w:rPr>
          <w:rFonts w:ascii="Arial" w:hAnsi="Arial" w:cs="Arial"/>
          <w:sz w:val="18"/>
          <w:szCs w:val="18"/>
        </w:rPr>
        <w:t>f</w:t>
      </w:r>
      <w:r>
        <w:rPr>
          <w:rFonts w:ascii="Arial" w:hAnsi="Arial" w:cs="Arial"/>
          <w:sz w:val="18"/>
          <w:szCs w:val="18"/>
        </w:rPr>
        <w:t xml:space="preserve">ixa entre as ofertas dos subsistemas Sul e Sudeste; proporção fixa entre as ofertas dos subsistemas Norte e Nordeste; variação livre da </w:t>
      </w:r>
      <w:r w:rsidR="0057791C">
        <w:rPr>
          <w:rFonts w:ascii="Arial" w:hAnsi="Arial" w:cs="Arial"/>
          <w:sz w:val="18"/>
          <w:szCs w:val="18"/>
        </w:rPr>
        <w:t xml:space="preserve"> </w:t>
      </w:r>
      <w:r>
        <w:rPr>
          <w:rFonts w:ascii="Arial" w:hAnsi="Arial" w:cs="Arial"/>
          <w:sz w:val="18"/>
          <w:szCs w:val="18"/>
        </w:rPr>
        <w:t xml:space="preserve"> Sul/Sudeste e da oferta conjunta Norte/Nordeste</w:t>
      </w:r>
    </w:p>
    <w:p w:rsidR="004F29B7" w:rsidRDefault="004F29B7" w:rsidP="003F1E7E">
      <w:pPr>
        <w:pStyle w:val="PargrafodaLista"/>
        <w:autoSpaceDE w:val="0"/>
        <w:autoSpaceDN w:val="0"/>
        <w:adjustRightInd w:val="0"/>
        <w:spacing w:line="360" w:lineRule="auto"/>
        <w:ind w:left="0"/>
        <w:jc w:val="both"/>
        <w:rPr>
          <w:rFonts w:ascii="Arial" w:hAnsi="Arial" w:cs="Arial"/>
          <w:sz w:val="18"/>
          <w:szCs w:val="18"/>
        </w:rPr>
      </w:pPr>
    </w:p>
    <w:p w:rsidR="004F29B7" w:rsidRDefault="004F29B7" w:rsidP="003F1E7E">
      <w:pPr>
        <w:pStyle w:val="PargrafodaLista"/>
        <w:autoSpaceDE w:val="0"/>
        <w:autoSpaceDN w:val="0"/>
        <w:adjustRightInd w:val="0"/>
        <w:spacing w:line="360" w:lineRule="auto"/>
        <w:ind w:left="0"/>
        <w:jc w:val="both"/>
        <w:rPr>
          <w:rFonts w:ascii="Arial" w:hAnsi="Arial" w:cs="Arial"/>
          <w:sz w:val="18"/>
          <w:szCs w:val="18"/>
        </w:rPr>
      </w:pPr>
      <w:r>
        <w:rPr>
          <w:rFonts w:ascii="Arial" w:hAnsi="Arial" w:cs="Arial"/>
          <w:sz w:val="18"/>
          <w:szCs w:val="18"/>
        </w:rPr>
        <w:t>vi) Cálculo das energias garantidas dos subsistemas baseado na ponderação da energia fornecida pelo custo marginal de operação de cada s</w:t>
      </w:r>
      <w:r w:rsidR="00197001">
        <w:rPr>
          <w:rFonts w:ascii="Arial" w:hAnsi="Arial" w:cs="Arial"/>
          <w:sz w:val="18"/>
          <w:szCs w:val="18"/>
        </w:rPr>
        <w:t>érie.</w:t>
      </w:r>
    </w:p>
    <w:p w:rsidR="004F29B7" w:rsidRDefault="004F29B7" w:rsidP="003F1E7E">
      <w:pPr>
        <w:pStyle w:val="PargrafodaLista"/>
        <w:autoSpaceDE w:val="0"/>
        <w:autoSpaceDN w:val="0"/>
        <w:adjustRightInd w:val="0"/>
        <w:spacing w:line="360" w:lineRule="auto"/>
        <w:ind w:left="0"/>
        <w:jc w:val="both"/>
        <w:rPr>
          <w:rFonts w:ascii="Arial" w:hAnsi="Arial" w:cs="Arial"/>
          <w:sz w:val="18"/>
          <w:szCs w:val="18"/>
        </w:rPr>
      </w:pPr>
    </w:p>
    <w:p w:rsidR="0057791C" w:rsidRDefault="004F29B7" w:rsidP="003F1E7E">
      <w:pPr>
        <w:pStyle w:val="PargrafodaLista"/>
        <w:autoSpaceDE w:val="0"/>
        <w:autoSpaceDN w:val="0"/>
        <w:adjustRightInd w:val="0"/>
        <w:spacing w:line="360" w:lineRule="auto"/>
        <w:ind w:left="0"/>
        <w:jc w:val="both"/>
        <w:rPr>
          <w:rFonts w:ascii="Arial" w:hAnsi="Arial" w:cs="Arial"/>
          <w:sz w:val="18"/>
          <w:szCs w:val="18"/>
        </w:rPr>
      </w:pPr>
      <w:r>
        <w:rPr>
          <w:rFonts w:ascii="Arial" w:hAnsi="Arial" w:cs="Arial"/>
          <w:sz w:val="18"/>
          <w:szCs w:val="18"/>
        </w:rPr>
        <w:t xml:space="preserve">vii) Energia </w:t>
      </w:r>
      <w:r w:rsidR="00197001">
        <w:rPr>
          <w:rFonts w:ascii="Arial" w:hAnsi="Arial" w:cs="Arial"/>
          <w:sz w:val="18"/>
          <w:szCs w:val="18"/>
        </w:rPr>
        <w:t>Assegurada de</w:t>
      </w:r>
      <w:r>
        <w:rPr>
          <w:rFonts w:ascii="Arial" w:hAnsi="Arial" w:cs="Arial"/>
          <w:sz w:val="18"/>
          <w:szCs w:val="18"/>
        </w:rPr>
        <w:t xml:space="preserve"> </w:t>
      </w:r>
      <w:r w:rsidR="00197001">
        <w:rPr>
          <w:rFonts w:ascii="Arial" w:hAnsi="Arial" w:cs="Arial"/>
          <w:sz w:val="18"/>
          <w:szCs w:val="18"/>
        </w:rPr>
        <w:t>uma UHE</w:t>
      </w:r>
      <w:r>
        <w:rPr>
          <w:rFonts w:ascii="Arial" w:hAnsi="Arial" w:cs="Arial"/>
          <w:sz w:val="18"/>
          <w:szCs w:val="18"/>
        </w:rPr>
        <w:t xml:space="preserve"> </w:t>
      </w:r>
      <w:r w:rsidR="0057791C">
        <w:rPr>
          <w:rFonts w:ascii="Arial" w:hAnsi="Arial" w:cs="Arial"/>
          <w:sz w:val="18"/>
          <w:szCs w:val="18"/>
        </w:rPr>
        <w:t>é dada pelo produto do bloco de geração hidráulica, obtido pelo Newave, com a razão entre a energia firme da usina e a energia firme do sistema, informado pelo MSUI, para um período crítico adotado de 06/49 a 11/56.</w:t>
      </w:r>
    </w:p>
    <w:p w:rsidR="00197001" w:rsidRDefault="00197001" w:rsidP="004F29B7">
      <w:pPr>
        <w:pStyle w:val="PargrafodaLista"/>
        <w:autoSpaceDE w:val="0"/>
        <w:autoSpaceDN w:val="0"/>
        <w:adjustRightInd w:val="0"/>
        <w:ind w:left="0"/>
        <w:jc w:val="both"/>
        <w:rPr>
          <w:rFonts w:ascii="Arial" w:hAnsi="Arial" w:cs="Arial"/>
          <w:sz w:val="18"/>
          <w:szCs w:val="18"/>
        </w:rPr>
      </w:pPr>
    </w:p>
    <w:p w:rsidR="00197001" w:rsidRDefault="00E65268" w:rsidP="004F29B7">
      <w:pPr>
        <w:pStyle w:val="PargrafodaLista"/>
        <w:autoSpaceDE w:val="0"/>
        <w:autoSpaceDN w:val="0"/>
        <w:adjustRightInd w:val="0"/>
        <w:ind w:left="0"/>
        <w:jc w:val="both"/>
        <w:rPr>
          <w:rFonts w:ascii="Arial" w:hAnsi="Arial" w:cs="Arial"/>
          <w:sz w:val="18"/>
          <w:szCs w:val="18"/>
        </w:rPr>
      </w:pPr>
      <w:r>
        <w:rPr>
          <w:rFonts w:ascii="Arial" w:hAnsi="Arial" w:cs="Arial"/>
          <w:noProof/>
          <w:sz w:val="18"/>
          <w:szCs w:val="18"/>
        </w:rPr>
        <w:lastRenderedPageBreak/>
        <w:object w:dxaOrig="1440" w:dyaOrig="1440">
          <v:shape id="_x0000_s1067" type="#_x0000_t75" style="position:absolute;left:0;text-align:left;margin-left:0;margin-top:5.05pt;width:237.4pt;height:89.05pt;z-index:251663360">
            <v:imagedata r:id="rId28" o:title=""/>
            <w10:wrap type="topAndBottom"/>
          </v:shape>
          <o:OLEObject Type="Embed" ProgID="Equation.3" ShapeID="_x0000_s1067" DrawAspect="Content" ObjectID="_1627418314" r:id="rId29"/>
        </w:object>
      </w:r>
    </w:p>
    <w:p w:rsidR="00197001" w:rsidRPr="003F1E7E" w:rsidRDefault="00197001" w:rsidP="00197001">
      <w:pPr>
        <w:spacing w:before="120" w:after="120"/>
        <w:rPr>
          <w:rFonts w:ascii="Arial" w:hAnsi="Arial" w:cs="Arial"/>
          <w:sz w:val="18"/>
          <w:szCs w:val="18"/>
        </w:rPr>
      </w:pPr>
      <w:r w:rsidRPr="003F1E7E">
        <w:rPr>
          <w:rFonts w:ascii="Arial" w:hAnsi="Arial" w:cs="Arial"/>
          <w:sz w:val="18"/>
          <w:szCs w:val="18"/>
        </w:rPr>
        <w:t>onde:</w:t>
      </w:r>
    </w:p>
    <w:p w:rsidR="00197001" w:rsidRPr="003F1E7E" w:rsidRDefault="00197001" w:rsidP="00197001">
      <w:pPr>
        <w:spacing w:before="120" w:after="120"/>
        <w:rPr>
          <w:rFonts w:ascii="Arial" w:hAnsi="Arial" w:cs="Arial"/>
          <w:sz w:val="18"/>
          <w:szCs w:val="18"/>
        </w:rPr>
      </w:pPr>
      <w:r w:rsidRPr="003F1E7E">
        <w:rPr>
          <w:rFonts w:ascii="Arial" w:hAnsi="Arial" w:cs="Arial"/>
          <w:sz w:val="18"/>
          <w:szCs w:val="18"/>
        </w:rPr>
        <w:t>CC</w:t>
      </w:r>
      <w:r w:rsidRPr="003F1E7E">
        <w:rPr>
          <w:rFonts w:ascii="Arial" w:hAnsi="Arial" w:cs="Arial"/>
          <w:sz w:val="18"/>
          <w:szCs w:val="18"/>
          <w:vertAlign w:val="subscript"/>
        </w:rPr>
        <w:t>5%</w:t>
      </w:r>
      <w:r w:rsidRPr="003F1E7E">
        <w:rPr>
          <w:rFonts w:ascii="Arial" w:hAnsi="Arial" w:cs="Arial"/>
          <w:sz w:val="18"/>
          <w:szCs w:val="18"/>
        </w:rPr>
        <w:t xml:space="preserve"> - carga crítica total do sistema associada a um nível de risco pré-fixado 5%;</w:t>
      </w:r>
    </w:p>
    <w:p w:rsidR="00197001" w:rsidRPr="003F1E7E" w:rsidRDefault="00197001" w:rsidP="00197001">
      <w:pPr>
        <w:spacing w:before="120" w:after="120"/>
        <w:rPr>
          <w:rFonts w:ascii="Arial" w:hAnsi="Arial" w:cs="Arial"/>
          <w:sz w:val="18"/>
          <w:szCs w:val="18"/>
        </w:rPr>
      </w:pPr>
      <w:r w:rsidRPr="003F1E7E">
        <w:rPr>
          <w:rFonts w:ascii="Arial" w:hAnsi="Arial" w:cs="Arial"/>
          <w:sz w:val="18"/>
          <w:szCs w:val="18"/>
        </w:rPr>
        <w:t>G</w:t>
      </w:r>
      <w:r w:rsidRPr="003F1E7E">
        <w:rPr>
          <w:rFonts w:ascii="Arial" w:hAnsi="Arial" w:cs="Arial"/>
          <w:sz w:val="18"/>
          <w:szCs w:val="18"/>
          <w:vertAlign w:val="superscript"/>
        </w:rPr>
        <w:t>i</w:t>
      </w:r>
      <w:r w:rsidRPr="003F1E7E">
        <w:rPr>
          <w:rFonts w:ascii="Arial" w:hAnsi="Arial" w:cs="Arial"/>
          <w:sz w:val="18"/>
          <w:szCs w:val="18"/>
          <w:vertAlign w:val="subscript"/>
        </w:rPr>
        <w:t>jklt</w:t>
      </w:r>
      <w:r w:rsidRPr="003F1E7E">
        <w:rPr>
          <w:rFonts w:ascii="Arial" w:hAnsi="Arial" w:cs="Arial"/>
          <w:sz w:val="18"/>
          <w:szCs w:val="18"/>
        </w:rPr>
        <w:t xml:space="preserve"> – geração de energia do sistema, mês j, série k, classe l, tempo t;</w:t>
      </w:r>
    </w:p>
    <w:p w:rsidR="00197001" w:rsidRDefault="00197001" w:rsidP="00197001">
      <w:pPr>
        <w:pStyle w:val="PargrafodaLista"/>
        <w:autoSpaceDE w:val="0"/>
        <w:autoSpaceDN w:val="0"/>
        <w:adjustRightInd w:val="0"/>
        <w:ind w:left="0"/>
        <w:jc w:val="both"/>
        <w:rPr>
          <w:rFonts w:ascii="Arial" w:hAnsi="Arial" w:cs="Arial"/>
          <w:sz w:val="22"/>
          <w:szCs w:val="22"/>
        </w:rPr>
      </w:pPr>
      <w:r w:rsidRPr="003F1E7E">
        <w:rPr>
          <w:rFonts w:ascii="Arial" w:hAnsi="Arial" w:cs="Arial"/>
          <w:sz w:val="18"/>
          <w:szCs w:val="18"/>
        </w:rPr>
        <w:t>CMO</w:t>
      </w:r>
      <w:r w:rsidRPr="003F1E7E">
        <w:rPr>
          <w:rFonts w:ascii="Arial" w:hAnsi="Arial" w:cs="Arial"/>
          <w:sz w:val="18"/>
          <w:szCs w:val="18"/>
          <w:vertAlign w:val="superscript"/>
        </w:rPr>
        <w:t>i</w:t>
      </w:r>
      <w:r w:rsidRPr="003F1E7E">
        <w:rPr>
          <w:rFonts w:ascii="Arial" w:hAnsi="Arial" w:cs="Arial"/>
          <w:sz w:val="18"/>
          <w:szCs w:val="18"/>
          <w:vertAlign w:val="subscript"/>
        </w:rPr>
        <w:t>jkt</w:t>
      </w:r>
      <w:r w:rsidRPr="003F1E7E">
        <w:rPr>
          <w:rFonts w:ascii="Arial" w:hAnsi="Arial" w:cs="Arial"/>
          <w:sz w:val="18"/>
          <w:szCs w:val="18"/>
        </w:rPr>
        <w:t xml:space="preserve"> – custo marginal de operação do sistema, mês j, série k, tempo t.</w:t>
      </w:r>
    </w:p>
    <w:p w:rsidR="003F1E7E" w:rsidRDefault="003F1E7E" w:rsidP="00197001">
      <w:pPr>
        <w:pStyle w:val="PargrafodaLista"/>
        <w:autoSpaceDE w:val="0"/>
        <w:autoSpaceDN w:val="0"/>
        <w:adjustRightInd w:val="0"/>
        <w:ind w:left="0"/>
        <w:jc w:val="both"/>
        <w:rPr>
          <w:rFonts w:ascii="Arial" w:hAnsi="Arial" w:cs="Arial"/>
          <w:sz w:val="18"/>
          <w:szCs w:val="18"/>
        </w:rPr>
      </w:pPr>
    </w:p>
    <w:p w:rsidR="00197001" w:rsidRDefault="00197001" w:rsidP="004F29B7">
      <w:pPr>
        <w:pStyle w:val="PargrafodaLista"/>
        <w:autoSpaceDE w:val="0"/>
        <w:autoSpaceDN w:val="0"/>
        <w:adjustRightInd w:val="0"/>
        <w:ind w:left="0"/>
        <w:jc w:val="both"/>
        <w:rPr>
          <w:rFonts w:ascii="Arial" w:hAnsi="Arial" w:cs="Arial"/>
          <w:sz w:val="18"/>
          <w:szCs w:val="18"/>
        </w:rPr>
      </w:pPr>
      <w:r w:rsidRPr="006101D2">
        <w:rPr>
          <w:position w:val="-22"/>
          <w:sz w:val="22"/>
          <w:szCs w:val="22"/>
        </w:rPr>
        <w:object w:dxaOrig="1660" w:dyaOrig="580">
          <v:shape id="_x0000_i1032" type="#_x0000_t75" style="width:110.4pt;height:38.4pt" o:ole="">
            <v:imagedata r:id="rId30" o:title=""/>
          </v:shape>
          <o:OLEObject Type="Embed" ProgID="Equation.3" ShapeID="_x0000_i1032" DrawAspect="Content" ObjectID="_1627418311" r:id="rId31"/>
        </w:object>
      </w:r>
    </w:p>
    <w:p w:rsidR="00197001" w:rsidRDefault="00197001" w:rsidP="004F29B7">
      <w:pPr>
        <w:pStyle w:val="PargrafodaLista"/>
        <w:autoSpaceDE w:val="0"/>
        <w:autoSpaceDN w:val="0"/>
        <w:adjustRightInd w:val="0"/>
        <w:ind w:left="0"/>
        <w:jc w:val="both"/>
        <w:rPr>
          <w:rFonts w:ascii="Arial" w:hAnsi="Arial" w:cs="Arial"/>
          <w:sz w:val="18"/>
          <w:szCs w:val="18"/>
        </w:rPr>
      </w:pPr>
    </w:p>
    <w:p w:rsidR="00197001" w:rsidRPr="009D2564" w:rsidRDefault="00197001">
      <w:pPr>
        <w:rPr>
          <w:rFonts w:ascii="Arial" w:hAnsi="Arial" w:cs="Arial"/>
          <w:sz w:val="18"/>
          <w:szCs w:val="18"/>
        </w:rPr>
      </w:pPr>
      <w:r w:rsidRPr="009D2564">
        <w:rPr>
          <w:rFonts w:ascii="Arial" w:hAnsi="Arial" w:cs="Arial"/>
          <w:sz w:val="18"/>
          <w:szCs w:val="18"/>
        </w:rPr>
        <w:t>Onde:</w:t>
      </w:r>
    </w:p>
    <w:p w:rsidR="009D2564" w:rsidRPr="009D2564" w:rsidRDefault="009D2564">
      <w:pPr>
        <w:rPr>
          <w:rFonts w:ascii="Arial" w:hAnsi="Arial" w:cs="Arial"/>
          <w:sz w:val="18"/>
          <w:szCs w:val="18"/>
        </w:rPr>
      </w:pPr>
    </w:p>
    <w:p w:rsidR="009D2564" w:rsidRPr="009D2564" w:rsidRDefault="009D2564" w:rsidP="003F1E7E">
      <w:pPr>
        <w:spacing w:before="120" w:after="120" w:line="360" w:lineRule="auto"/>
        <w:jc w:val="both"/>
        <w:rPr>
          <w:rFonts w:ascii="Arial" w:hAnsi="Arial" w:cs="Arial"/>
          <w:sz w:val="18"/>
          <w:szCs w:val="18"/>
        </w:rPr>
      </w:pPr>
      <w:r>
        <w:rPr>
          <w:rFonts w:ascii="Arial" w:hAnsi="Arial" w:cs="Arial"/>
          <w:sz w:val="18"/>
          <w:szCs w:val="18"/>
        </w:rPr>
        <w:t>EF</w:t>
      </w:r>
      <w:r>
        <w:rPr>
          <w:rFonts w:ascii="Arial" w:hAnsi="Arial" w:cs="Arial"/>
          <w:sz w:val="18"/>
          <w:szCs w:val="18"/>
          <w:vertAlign w:val="subscript"/>
        </w:rPr>
        <w:t>U</w:t>
      </w:r>
      <w:r w:rsidRPr="009D2564">
        <w:rPr>
          <w:rFonts w:ascii="Arial" w:hAnsi="Arial" w:cs="Arial"/>
          <w:sz w:val="18"/>
          <w:szCs w:val="18"/>
        </w:rPr>
        <w:t xml:space="preserve"> – valor esperado da produção de energia hidráulica durante o período crítico do Sistema Interligado Nacional (SIN), 06/1949 à 11/1956, em MWmédios.</w:t>
      </w:r>
    </w:p>
    <w:p w:rsidR="009D2564" w:rsidRPr="007110EE" w:rsidRDefault="009D2564" w:rsidP="003F1E7E">
      <w:pPr>
        <w:spacing w:before="120" w:after="120" w:line="360" w:lineRule="auto"/>
        <w:jc w:val="both"/>
        <w:rPr>
          <w:rFonts w:ascii="Arial" w:hAnsi="Arial" w:cs="Arial"/>
          <w:sz w:val="22"/>
          <w:szCs w:val="22"/>
        </w:rPr>
      </w:pPr>
      <w:r w:rsidRPr="009D2564">
        <w:rPr>
          <w:rFonts w:ascii="Arial" w:hAnsi="Arial" w:cs="Arial"/>
          <w:sz w:val="18"/>
          <w:szCs w:val="18"/>
        </w:rPr>
        <w:t>EFS – valor esperado da produção de energia</w:t>
      </w:r>
      <w:r>
        <w:rPr>
          <w:rFonts w:ascii="Arial" w:hAnsi="Arial" w:cs="Arial"/>
          <w:sz w:val="18"/>
          <w:szCs w:val="18"/>
        </w:rPr>
        <w:t xml:space="preserve"> no período histórico do</w:t>
      </w:r>
      <w:r w:rsidRPr="009D2564">
        <w:rPr>
          <w:rFonts w:ascii="Arial" w:hAnsi="Arial" w:cs="Arial"/>
          <w:sz w:val="18"/>
          <w:szCs w:val="18"/>
        </w:rPr>
        <w:t xml:space="preserve"> </w:t>
      </w:r>
      <w:r>
        <w:rPr>
          <w:rFonts w:ascii="Arial" w:hAnsi="Arial" w:cs="Arial"/>
          <w:sz w:val="18"/>
          <w:szCs w:val="18"/>
        </w:rPr>
        <w:t>conjunto de usinas hidroelétricas pertencentes a configuração proposta.</w:t>
      </w:r>
    </w:p>
    <w:p w:rsidR="00197001" w:rsidRDefault="00197001" w:rsidP="003F1E7E">
      <w:pPr>
        <w:spacing w:line="360" w:lineRule="auto"/>
        <w:rPr>
          <w:rFonts w:ascii="Arial" w:hAnsi="Arial" w:cs="Arial"/>
          <w:sz w:val="18"/>
          <w:szCs w:val="18"/>
        </w:rPr>
      </w:pPr>
    </w:p>
    <w:p w:rsidR="006A242D" w:rsidRDefault="006A242D" w:rsidP="003F1E7E">
      <w:pPr>
        <w:spacing w:line="360" w:lineRule="auto"/>
        <w:rPr>
          <w:rFonts w:ascii="Arial" w:hAnsi="Arial" w:cs="Arial"/>
          <w:sz w:val="18"/>
          <w:szCs w:val="18"/>
        </w:rPr>
      </w:pPr>
      <w:r>
        <w:rPr>
          <w:rFonts w:ascii="Arial" w:hAnsi="Arial" w:cs="Arial"/>
          <w:sz w:val="18"/>
          <w:szCs w:val="18"/>
        </w:rPr>
        <w:t>No caso da Potência Assegurada das UHES é definida com base em sua potência garantida conforme a seguinte expressão:</w:t>
      </w:r>
    </w:p>
    <w:p w:rsidR="006A242D" w:rsidRDefault="006A242D">
      <w:pPr>
        <w:rPr>
          <w:rFonts w:ascii="Arial" w:hAnsi="Arial" w:cs="Arial"/>
          <w:sz w:val="18"/>
          <w:szCs w:val="18"/>
        </w:rPr>
      </w:pPr>
    </w:p>
    <w:p w:rsidR="00197001" w:rsidRDefault="00197001" w:rsidP="004F29B7">
      <w:pPr>
        <w:pStyle w:val="PargrafodaLista"/>
        <w:autoSpaceDE w:val="0"/>
        <w:autoSpaceDN w:val="0"/>
        <w:adjustRightInd w:val="0"/>
        <w:ind w:left="0"/>
        <w:jc w:val="both"/>
        <w:rPr>
          <w:rFonts w:ascii="Arial" w:hAnsi="Arial" w:cs="Arial"/>
          <w:sz w:val="18"/>
          <w:szCs w:val="18"/>
        </w:rPr>
      </w:pPr>
    </w:p>
    <w:p w:rsidR="004F29B7" w:rsidRPr="00197001" w:rsidRDefault="0057791C" w:rsidP="004F29B7">
      <w:pPr>
        <w:pStyle w:val="PargrafodaLista"/>
        <w:autoSpaceDE w:val="0"/>
        <w:autoSpaceDN w:val="0"/>
        <w:adjustRightInd w:val="0"/>
        <w:ind w:left="0"/>
        <w:jc w:val="both"/>
        <w:rPr>
          <w:rFonts w:ascii="Arial" w:hAnsi="Arial" w:cs="Arial"/>
        </w:rPr>
      </w:pPr>
      <m:oMath>
        <m:r>
          <w:rPr>
            <w:rFonts w:ascii="Cambria Math" w:hAnsi="Cambria Math" w:cs="Arial"/>
          </w:rPr>
          <m:t xml:space="preserve">PA= </m:t>
        </m:r>
        <m:f>
          <m:fPr>
            <m:ctrlPr>
              <w:rPr>
                <w:rFonts w:ascii="Cambria Math" w:hAnsi="Cambria Math" w:cs="Arial"/>
                <w:i/>
              </w:rPr>
            </m:ctrlPr>
          </m:fPr>
          <m:num>
            <m:r>
              <w:rPr>
                <w:rFonts w:ascii="Cambria Math" w:hAnsi="Cambria Math" w:cs="Arial"/>
              </w:rPr>
              <m:t>PD-1,05 x CP</m:t>
            </m:r>
          </m:num>
          <m:den>
            <m:r>
              <w:rPr>
                <w:rFonts w:ascii="Cambria Math" w:hAnsi="Cambria Math" w:cs="Arial"/>
              </w:rPr>
              <m:t>1,035</m:t>
            </m:r>
          </m:den>
        </m:f>
      </m:oMath>
      <w:r w:rsidRPr="00197001">
        <w:rPr>
          <w:rFonts w:ascii="Arial" w:hAnsi="Arial" w:cs="Arial"/>
        </w:rPr>
        <w:t xml:space="preserve">  </w:t>
      </w:r>
    </w:p>
    <w:p w:rsidR="004F29B7" w:rsidRPr="004F29B7" w:rsidRDefault="004F29B7" w:rsidP="004F29B7">
      <w:pPr>
        <w:pStyle w:val="PargrafodaLista"/>
        <w:autoSpaceDE w:val="0"/>
        <w:autoSpaceDN w:val="0"/>
        <w:adjustRightInd w:val="0"/>
        <w:ind w:left="0"/>
        <w:jc w:val="both"/>
        <w:rPr>
          <w:rFonts w:ascii="Arial" w:hAnsi="Arial" w:cs="Arial"/>
          <w:sz w:val="18"/>
          <w:szCs w:val="18"/>
        </w:rPr>
      </w:pPr>
      <w:r>
        <w:rPr>
          <w:rFonts w:ascii="Arial" w:hAnsi="Arial" w:cs="Arial"/>
          <w:sz w:val="18"/>
          <w:szCs w:val="18"/>
        </w:rPr>
        <w:t xml:space="preserve"> </w:t>
      </w:r>
    </w:p>
    <w:p w:rsidR="00A91983" w:rsidRDefault="00197001" w:rsidP="00FD67E5">
      <w:pPr>
        <w:autoSpaceDE w:val="0"/>
        <w:autoSpaceDN w:val="0"/>
        <w:adjustRightInd w:val="0"/>
        <w:jc w:val="both"/>
        <w:rPr>
          <w:rFonts w:ascii="Arial" w:hAnsi="Arial" w:cs="Arial"/>
          <w:sz w:val="18"/>
          <w:szCs w:val="18"/>
        </w:rPr>
      </w:pPr>
      <w:r>
        <w:rPr>
          <w:rFonts w:ascii="Arial" w:hAnsi="Arial" w:cs="Arial"/>
          <w:sz w:val="18"/>
          <w:szCs w:val="18"/>
        </w:rPr>
        <w:t>Onde:</w:t>
      </w:r>
    </w:p>
    <w:p w:rsidR="00197001" w:rsidRDefault="00197001" w:rsidP="00FD67E5">
      <w:pPr>
        <w:autoSpaceDE w:val="0"/>
        <w:autoSpaceDN w:val="0"/>
        <w:adjustRightInd w:val="0"/>
        <w:jc w:val="both"/>
        <w:rPr>
          <w:rFonts w:ascii="Arial" w:hAnsi="Arial" w:cs="Arial"/>
          <w:sz w:val="18"/>
          <w:szCs w:val="18"/>
        </w:rPr>
      </w:pPr>
    </w:p>
    <w:p w:rsidR="00197001" w:rsidRDefault="00197001" w:rsidP="003F1E7E">
      <w:pPr>
        <w:autoSpaceDE w:val="0"/>
        <w:autoSpaceDN w:val="0"/>
        <w:adjustRightInd w:val="0"/>
        <w:spacing w:line="360" w:lineRule="auto"/>
        <w:jc w:val="both"/>
        <w:rPr>
          <w:rFonts w:ascii="Arial" w:hAnsi="Arial" w:cs="Arial"/>
          <w:sz w:val="18"/>
          <w:szCs w:val="18"/>
        </w:rPr>
      </w:pPr>
      <w:r>
        <w:rPr>
          <w:rFonts w:ascii="Arial" w:hAnsi="Arial" w:cs="Arial"/>
          <w:sz w:val="18"/>
          <w:szCs w:val="18"/>
        </w:rPr>
        <w:t>PD – potência disponível;</w:t>
      </w:r>
    </w:p>
    <w:p w:rsidR="00197001" w:rsidRDefault="00197001" w:rsidP="003F1E7E">
      <w:pPr>
        <w:autoSpaceDE w:val="0"/>
        <w:autoSpaceDN w:val="0"/>
        <w:adjustRightInd w:val="0"/>
        <w:spacing w:line="360" w:lineRule="auto"/>
        <w:jc w:val="both"/>
        <w:rPr>
          <w:rFonts w:ascii="Arial" w:hAnsi="Arial" w:cs="Arial"/>
          <w:sz w:val="18"/>
          <w:szCs w:val="18"/>
        </w:rPr>
      </w:pPr>
      <w:r>
        <w:rPr>
          <w:rFonts w:ascii="Arial" w:hAnsi="Arial" w:cs="Arial"/>
          <w:sz w:val="18"/>
          <w:szCs w:val="18"/>
        </w:rPr>
        <w:t>PG – potência garantida;</w:t>
      </w:r>
    </w:p>
    <w:p w:rsidR="00197001" w:rsidRDefault="00197001" w:rsidP="003F1E7E">
      <w:pPr>
        <w:autoSpaceDE w:val="0"/>
        <w:autoSpaceDN w:val="0"/>
        <w:adjustRightInd w:val="0"/>
        <w:spacing w:line="360" w:lineRule="auto"/>
        <w:jc w:val="both"/>
        <w:rPr>
          <w:rFonts w:ascii="Arial" w:hAnsi="Arial" w:cs="Arial"/>
          <w:sz w:val="18"/>
          <w:szCs w:val="18"/>
        </w:rPr>
      </w:pPr>
      <w:r>
        <w:rPr>
          <w:rFonts w:ascii="Arial" w:hAnsi="Arial" w:cs="Arial"/>
          <w:sz w:val="18"/>
          <w:szCs w:val="18"/>
        </w:rPr>
        <w:t>CP – consumo próprio;</w:t>
      </w:r>
    </w:p>
    <w:p w:rsidR="00197001" w:rsidRDefault="00197001" w:rsidP="003F1E7E">
      <w:pPr>
        <w:autoSpaceDE w:val="0"/>
        <w:autoSpaceDN w:val="0"/>
        <w:adjustRightInd w:val="0"/>
        <w:spacing w:line="360" w:lineRule="auto"/>
        <w:jc w:val="both"/>
        <w:rPr>
          <w:rFonts w:ascii="Arial" w:hAnsi="Arial" w:cs="Arial"/>
          <w:sz w:val="18"/>
          <w:szCs w:val="18"/>
        </w:rPr>
      </w:pPr>
      <w:r>
        <w:rPr>
          <w:rFonts w:ascii="Arial" w:hAnsi="Arial" w:cs="Arial"/>
          <w:sz w:val="18"/>
          <w:szCs w:val="18"/>
        </w:rPr>
        <w:t>RP – reserva de potência da usina</w:t>
      </w:r>
      <w:r w:rsidR="003F1E7E">
        <w:rPr>
          <w:rFonts w:ascii="Arial" w:hAnsi="Arial" w:cs="Arial"/>
          <w:sz w:val="18"/>
          <w:szCs w:val="18"/>
        </w:rPr>
        <w:t>.</w:t>
      </w:r>
    </w:p>
    <w:p w:rsidR="006A242D" w:rsidRDefault="006A242D" w:rsidP="00FD67E5">
      <w:pPr>
        <w:autoSpaceDE w:val="0"/>
        <w:autoSpaceDN w:val="0"/>
        <w:adjustRightInd w:val="0"/>
        <w:jc w:val="both"/>
        <w:rPr>
          <w:rFonts w:ascii="Arial" w:hAnsi="Arial" w:cs="Arial"/>
          <w:sz w:val="18"/>
          <w:szCs w:val="18"/>
        </w:rPr>
      </w:pPr>
    </w:p>
    <w:p w:rsidR="00B8412B" w:rsidRDefault="003F1E7E" w:rsidP="003F1E7E">
      <w:pPr>
        <w:spacing w:line="360" w:lineRule="auto"/>
        <w:rPr>
          <w:rFonts w:ascii="Arial" w:hAnsi="Arial" w:cs="Arial"/>
          <w:sz w:val="18"/>
          <w:szCs w:val="18"/>
        </w:rPr>
      </w:pPr>
      <w:r>
        <w:rPr>
          <w:rFonts w:ascii="Arial" w:hAnsi="Arial" w:cs="Arial"/>
          <w:sz w:val="18"/>
          <w:szCs w:val="18"/>
        </w:rPr>
        <w:t>Na década de 1990 t</w:t>
      </w:r>
      <w:r w:rsidR="00B8412B">
        <w:rPr>
          <w:rFonts w:ascii="Arial" w:hAnsi="Arial" w:cs="Arial"/>
          <w:sz w:val="18"/>
          <w:szCs w:val="18"/>
        </w:rPr>
        <w:t xml:space="preserve">rês pontos merecem destaque </w:t>
      </w:r>
      <w:r>
        <w:rPr>
          <w:rFonts w:ascii="Arial" w:hAnsi="Arial" w:cs="Arial"/>
          <w:sz w:val="18"/>
          <w:szCs w:val="18"/>
        </w:rPr>
        <w:t>pois,</w:t>
      </w:r>
      <w:r w:rsidR="00B8412B">
        <w:rPr>
          <w:rFonts w:ascii="Arial" w:hAnsi="Arial" w:cs="Arial"/>
          <w:sz w:val="18"/>
          <w:szCs w:val="18"/>
        </w:rPr>
        <w:t xml:space="preserve"> de uma maneira ou de outra</w:t>
      </w:r>
      <w:r>
        <w:rPr>
          <w:rFonts w:ascii="Arial" w:hAnsi="Arial" w:cs="Arial"/>
          <w:sz w:val="18"/>
          <w:szCs w:val="18"/>
        </w:rPr>
        <w:t>,</w:t>
      </w:r>
      <w:r w:rsidR="00B8412B">
        <w:rPr>
          <w:rFonts w:ascii="Arial" w:hAnsi="Arial" w:cs="Arial"/>
          <w:sz w:val="18"/>
          <w:szCs w:val="18"/>
        </w:rPr>
        <w:t xml:space="preserve"> apresentaram ligações como </w:t>
      </w:r>
      <w:r>
        <w:rPr>
          <w:rFonts w:ascii="Arial" w:hAnsi="Arial" w:cs="Arial"/>
          <w:sz w:val="18"/>
          <w:szCs w:val="18"/>
        </w:rPr>
        <w:t>os critérios de suprimento:</w:t>
      </w:r>
    </w:p>
    <w:p w:rsidR="00B8412B" w:rsidRDefault="00B8412B" w:rsidP="003F1E7E">
      <w:pPr>
        <w:spacing w:line="360" w:lineRule="auto"/>
        <w:rPr>
          <w:rFonts w:ascii="Arial" w:hAnsi="Arial" w:cs="Arial"/>
          <w:sz w:val="18"/>
          <w:szCs w:val="18"/>
        </w:rPr>
      </w:pPr>
    </w:p>
    <w:p w:rsidR="00B8412B" w:rsidRDefault="00B8412B" w:rsidP="003F1E7E">
      <w:pPr>
        <w:spacing w:line="360" w:lineRule="auto"/>
        <w:rPr>
          <w:rFonts w:ascii="Arial" w:hAnsi="Arial" w:cs="Arial"/>
          <w:sz w:val="18"/>
          <w:szCs w:val="18"/>
        </w:rPr>
      </w:pPr>
      <w:r>
        <w:rPr>
          <w:rFonts w:ascii="Arial" w:hAnsi="Arial" w:cs="Arial"/>
          <w:sz w:val="18"/>
          <w:szCs w:val="18"/>
        </w:rPr>
        <w:t>i) Substituição do modelos energéticos em ambiente mainframe para versão micro.</w:t>
      </w:r>
    </w:p>
    <w:p w:rsidR="00B8412B" w:rsidRDefault="00B8412B" w:rsidP="003F1E7E">
      <w:pPr>
        <w:spacing w:line="360" w:lineRule="auto"/>
        <w:rPr>
          <w:rFonts w:ascii="Arial" w:hAnsi="Arial" w:cs="Arial"/>
          <w:sz w:val="18"/>
          <w:szCs w:val="18"/>
        </w:rPr>
      </w:pPr>
    </w:p>
    <w:p w:rsidR="00B8412B" w:rsidRDefault="003F1E7E" w:rsidP="003F1E7E">
      <w:pPr>
        <w:spacing w:line="360" w:lineRule="auto"/>
        <w:rPr>
          <w:rFonts w:ascii="Arial" w:hAnsi="Arial" w:cs="Arial"/>
          <w:sz w:val="18"/>
          <w:szCs w:val="18"/>
        </w:rPr>
      </w:pPr>
      <w:r>
        <w:rPr>
          <w:rFonts w:ascii="Arial" w:hAnsi="Arial" w:cs="Arial"/>
          <w:sz w:val="18"/>
          <w:szCs w:val="18"/>
        </w:rPr>
        <w:lastRenderedPageBreak/>
        <w:t>ii) Substituição do</w:t>
      </w:r>
      <w:r w:rsidR="00B8412B">
        <w:rPr>
          <w:rFonts w:ascii="Arial" w:hAnsi="Arial" w:cs="Arial"/>
          <w:sz w:val="18"/>
          <w:szCs w:val="18"/>
        </w:rPr>
        <w:t>s modelos equivalentes pelo Newave</w:t>
      </w:r>
      <w:r>
        <w:rPr>
          <w:rFonts w:ascii="Arial" w:hAnsi="Arial" w:cs="Arial"/>
          <w:sz w:val="18"/>
          <w:szCs w:val="18"/>
        </w:rPr>
        <w:t>. Tal procedimento</w:t>
      </w:r>
      <w:r w:rsidR="00B8412B">
        <w:rPr>
          <w:rFonts w:ascii="Arial" w:hAnsi="Arial" w:cs="Arial"/>
          <w:sz w:val="18"/>
          <w:szCs w:val="18"/>
        </w:rPr>
        <w:t xml:space="preserve"> introduz</w:t>
      </w:r>
      <w:r>
        <w:rPr>
          <w:rFonts w:ascii="Arial" w:hAnsi="Arial" w:cs="Arial"/>
          <w:sz w:val="18"/>
          <w:szCs w:val="18"/>
        </w:rPr>
        <w:t>iu</w:t>
      </w:r>
      <w:r w:rsidR="00B8412B">
        <w:rPr>
          <w:rFonts w:ascii="Arial" w:hAnsi="Arial" w:cs="Arial"/>
          <w:sz w:val="18"/>
          <w:szCs w:val="18"/>
        </w:rPr>
        <w:t xml:space="preserve"> inovações</w:t>
      </w:r>
      <w:r>
        <w:rPr>
          <w:rFonts w:ascii="Arial" w:hAnsi="Arial" w:cs="Arial"/>
          <w:sz w:val="18"/>
          <w:szCs w:val="18"/>
        </w:rPr>
        <w:t>, tais como</w:t>
      </w:r>
      <w:r w:rsidR="00B8412B">
        <w:rPr>
          <w:rFonts w:ascii="Arial" w:hAnsi="Arial" w:cs="Arial"/>
          <w:sz w:val="18"/>
          <w:szCs w:val="18"/>
        </w:rPr>
        <w:t>: u</w:t>
      </w:r>
      <w:r w:rsidR="00396E14">
        <w:rPr>
          <w:rFonts w:ascii="Arial" w:hAnsi="Arial" w:cs="Arial"/>
          <w:sz w:val="18"/>
          <w:szCs w:val="18"/>
        </w:rPr>
        <w:t xml:space="preserve">so da programação dinâmica </w:t>
      </w:r>
      <w:r w:rsidR="00B8412B">
        <w:rPr>
          <w:rFonts w:ascii="Arial" w:hAnsi="Arial" w:cs="Arial"/>
          <w:sz w:val="18"/>
          <w:szCs w:val="18"/>
        </w:rPr>
        <w:t>estocástica</w:t>
      </w:r>
      <w:r w:rsidR="00396E14">
        <w:rPr>
          <w:rFonts w:ascii="Arial" w:hAnsi="Arial" w:cs="Arial"/>
          <w:sz w:val="18"/>
          <w:szCs w:val="18"/>
        </w:rPr>
        <w:t xml:space="preserve"> dual</w:t>
      </w:r>
      <w:r w:rsidR="00B8412B">
        <w:rPr>
          <w:rFonts w:ascii="Arial" w:hAnsi="Arial" w:cs="Arial"/>
          <w:sz w:val="18"/>
          <w:szCs w:val="18"/>
        </w:rPr>
        <w:t xml:space="preserve"> para operação econômic</w:t>
      </w:r>
      <w:r w:rsidR="00396E14">
        <w:rPr>
          <w:rFonts w:ascii="Arial" w:hAnsi="Arial" w:cs="Arial"/>
          <w:sz w:val="18"/>
          <w:szCs w:val="18"/>
        </w:rPr>
        <w:t>a das termoelétricas,</w:t>
      </w:r>
      <w:r w:rsidR="00B8412B">
        <w:rPr>
          <w:rFonts w:ascii="Arial" w:hAnsi="Arial" w:cs="Arial"/>
          <w:sz w:val="18"/>
          <w:szCs w:val="18"/>
        </w:rPr>
        <w:t xml:space="preserve"> gerador de séreis sintéticas baseados em modelos autoregressivos da família PARP, melhorias topológicas, etc.</w:t>
      </w:r>
    </w:p>
    <w:p w:rsidR="00B8412B" w:rsidRDefault="00B8412B" w:rsidP="00B8412B">
      <w:pPr>
        <w:rPr>
          <w:rFonts w:ascii="Arial" w:hAnsi="Arial" w:cs="Arial"/>
          <w:sz w:val="18"/>
          <w:szCs w:val="18"/>
        </w:rPr>
      </w:pPr>
    </w:p>
    <w:p w:rsidR="00B8412B" w:rsidRDefault="00B8412B" w:rsidP="00396E14">
      <w:pPr>
        <w:spacing w:line="360" w:lineRule="auto"/>
        <w:rPr>
          <w:rFonts w:ascii="Arial" w:hAnsi="Arial" w:cs="Arial"/>
          <w:sz w:val="18"/>
          <w:szCs w:val="18"/>
        </w:rPr>
      </w:pPr>
      <w:r>
        <w:rPr>
          <w:rFonts w:ascii="Arial" w:hAnsi="Arial" w:cs="Arial"/>
          <w:sz w:val="18"/>
          <w:szCs w:val="18"/>
        </w:rPr>
        <w:t>iii) Propostas metodológicas de substituição do critério de garantia de suprimento para um metodologia baseada na igualdade de custo marginais de curto e longo prazos e, como consequência, a adoção de um Custo Explícito de D</w:t>
      </w:r>
      <w:r w:rsidR="007C28A0">
        <w:rPr>
          <w:rFonts w:ascii="Arial" w:hAnsi="Arial" w:cs="Arial"/>
          <w:sz w:val="18"/>
          <w:szCs w:val="18"/>
        </w:rPr>
        <w:t>éficit [</w:t>
      </w:r>
      <w:r>
        <w:rPr>
          <w:rFonts w:ascii="Arial" w:hAnsi="Arial" w:cs="Arial"/>
          <w:sz w:val="18"/>
          <w:szCs w:val="18"/>
        </w:rPr>
        <w:t>18, 19 e 20</w:t>
      </w:r>
      <w:r w:rsidR="007C28A0">
        <w:rPr>
          <w:rFonts w:ascii="Arial" w:hAnsi="Arial" w:cs="Arial"/>
          <w:sz w:val="18"/>
          <w:szCs w:val="18"/>
        </w:rPr>
        <w:t>]</w:t>
      </w:r>
      <w:r w:rsidR="00396E14">
        <w:rPr>
          <w:rFonts w:ascii="Arial" w:hAnsi="Arial" w:cs="Arial"/>
          <w:sz w:val="18"/>
          <w:szCs w:val="18"/>
        </w:rPr>
        <w:t>.</w:t>
      </w:r>
    </w:p>
    <w:p w:rsidR="00B8412B" w:rsidRDefault="00B8412B" w:rsidP="00B8412B">
      <w:pPr>
        <w:rPr>
          <w:rFonts w:ascii="Arial" w:hAnsi="Arial" w:cs="Arial"/>
          <w:sz w:val="18"/>
          <w:szCs w:val="18"/>
        </w:rPr>
      </w:pPr>
    </w:p>
    <w:p w:rsidR="009B173C" w:rsidRPr="00014219" w:rsidRDefault="009B173C" w:rsidP="00396E14">
      <w:pPr>
        <w:spacing w:line="360" w:lineRule="auto"/>
        <w:jc w:val="both"/>
        <w:rPr>
          <w:rFonts w:ascii="Arial" w:hAnsi="Arial" w:cs="Arial"/>
          <w:sz w:val="18"/>
          <w:szCs w:val="18"/>
        </w:rPr>
      </w:pPr>
      <w:r w:rsidRPr="00014219">
        <w:rPr>
          <w:rFonts w:ascii="Arial" w:hAnsi="Arial" w:cs="Arial"/>
          <w:sz w:val="18"/>
          <w:szCs w:val="18"/>
        </w:rPr>
        <w:t>[21] apresenta os cálculos das energias asseguradas para o</w:t>
      </w:r>
      <w:r w:rsidR="00396E14">
        <w:rPr>
          <w:rFonts w:ascii="Arial" w:hAnsi="Arial" w:cs="Arial"/>
          <w:sz w:val="18"/>
          <w:szCs w:val="18"/>
        </w:rPr>
        <w:t>s</w:t>
      </w:r>
      <w:r w:rsidRPr="00014219">
        <w:rPr>
          <w:rFonts w:ascii="Arial" w:hAnsi="Arial" w:cs="Arial"/>
          <w:sz w:val="18"/>
          <w:szCs w:val="18"/>
        </w:rPr>
        <w:t xml:space="preserve"> contratos inicia</w:t>
      </w:r>
      <w:r w:rsidR="00396E14">
        <w:rPr>
          <w:rFonts w:ascii="Arial" w:hAnsi="Arial" w:cs="Arial"/>
          <w:sz w:val="18"/>
          <w:szCs w:val="18"/>
        </w:rPr>
        <w:t>i</w:t>
      </w:r>
      <w:r w:rsidRPr="00014219">
        <w:rPr>
          <w:rFonts w:ascii="Arial" w:hAnsi="Arial" w:cs="Arial"/>
          <w:sz w:val="18"/>
          <w:szCs w:val="18"/>
        </w:rPr>
        <w:t>s</w:t>
      </w:r>
      <w:r w:rsidR="00396E14">
        <w:rPr>
          <w:rFonts w:ascii="Arial" w:hAnsi="Arial" w:cs="Arial"/>
          <w:sz w:val="18"/>
          <w:szCs w:val="18"/>
        </w:rPr>
        <w:t>,</w:t>
      </w:r>
      <w:r w:rsidRPr="00014219">
        <w:rPr>
          <w:rFonts w:ascii="Arial" w:hAnsi="Arial" w:cs="Arial"/>
          <w:sz w:val="18"/>
          <w:szCs w:val="18"/>
        </w:rPr>
        <w:t xml:space="preserve"> bem como os critérios e cálculos das energia e potência asseguradas para o período</w:t>
      </w:r>
      <w:r w:rsidR="00396E14">
        <w:rPr>
          <w:rFonts w:ascii="Arial" w:hAnsi="Arial" w:cs="Arial"/>
          <w:sz w:val="18"/>
          <w:szCs w:val="18"/>
        </w:rPr>
        <w:t xml:space="preserve"> após 2002. No caso da segunda a</w:t>
      </w:r>
      <w:r w:rsidRPr="00014219">
        <w:rPr>
          <w:rFonts w:ascii="Arial" w:hAnsi="Arial" w:cs="Arial"/>
          <w:sz w:val="18"/>
          <w:szCs w:val="18"/>
        </w:rPr>
        <w:t xml:space="preserve"> única diferença do que foi e</w:t>
      </w:r>
      <w:r w:rsidR="00396E14">
        <w:rPr>
          <w:rFonts w:ascii="Arial" w:hAnsi="Arial" w:cs="Arial"/>
          <w:sz w:val="18"/>
          <w:szCs w:val="18"/>
        </w:rPr>
        <w:t>x</w:t>
      </w:r>
      <w:r w:rsidRPr="00014219">
        <w:rPr>
          <w:rFonts w:ascii="Arial" w:hAnsi="Arial" w:cs="Arial"/>
          <w:sz w:val="18"/>
          <w:szCs w:val="18"/>
        </w:rPr>
        <w:t>posto em [17] está relacionada a</w:t>
      </w:r>
      <w:r w:rsidR="00396E14">
        <w:rPr>
          <w:rFonts w:ascii="Arial" w:hAnsi="Arial" w:cs="Arial"/>
          <w:sz w:val="18"/>
          <w:szCs w:val="18"/>
        </w:rPr>
        <w:t>s</w:t>
      </w:r>
      <w:r w:rsidRPr="00014219">
        <w:rPr>
          <w:rFonts w:ascii="Arial" w:hAnsi="Arial" w:cs="Arial"/>
          <w:sz w:val="18"/>
          <w:szCs w:val="18"/>
        </w:rPr>
        <w:t xml:space="preserve"> fases de motorização de uma UHE</w:t>
      </w:r>
      <w:r w:rsidR="00396E14">
        <w:rPr>
          <w:rFonts w:ascii="Arial" w:hAnsi="Arial" w:cs="Arial"/>
          <w:sz w:val="18"/>
          <w:szCs w:val="18"/>
        </w:rPr>
        <w:t>,</w:t>
      </w:r>
      <w:r w:rsidRPr="00014219">
        <w:rPr>
          <w:rFonts w:ascii="Arial" w:hAnsi="Arial" w:cs="Arial"/>
          <w:sz w:val="18"/>
          <w:szCs w:val="18"/>
        </w:rPr>
        <w:t xml:space="preserve"> qual seja:</w:t>
      </w:r>
    </w:p>
    <w:p w:rsidR="009B173C" w:rsidRPr="00014219" w:rsidRDefault="009B173C" w:rsidP="00396E14">
      <w:pPr>
        <w:spacing w:line="360" w:lineRule="auto"/>
        <w:rPr>
          <w:rFonts w:ascii="Arial" w:hAnsi="Arial" w:cs="Arial"/>
          <w:sz w:val="18"/>
          <w:szCs w:val="18"/>
        </w:rPr>
      </w:pPr>
    </w:p>
    <w:p w:rsidR="00A72759" w:rsidRPr="00014219" w:rsidRDefault="009B173C" w:rsidP="00396E14">
      <w:pPr>
        <w:spacing w:line="360" w:lineRule="auto"/>
        <w:rPr>
          <w:rFonts w:ascii="Arial" w:hAnsi="Arial" w:cs="Arial"/>
          <w:sz w:val="18"/>
          <w:szCs w:val="18"/>
        </w:rPr>
      </w:pPr>
      <w:r w:rsidRPr="00014219">
        <w:rPr>
          <w:rFonts w:ascii="Arial" w:hAnsi="Arial" w:cs="Arial"/>
          <w:sz w:val="18"/>
          <w:szCs w:val="18"/>
        </w:rPr>
        <w:t>EA</w:t>
      </w:r>
      <w:r w:rsidRPr="00014219">
        <w:rPr>
          <w:rFonts w:ascii="Arial" w:hAnsi="Arial" w:cs="Arial"/>
          <w:sz w:val="18"/>
          <w:szCs w:val="18"/>
          <w:vertAlign w:val="subscript"/>
        </w:rPr>
        <w:t>mot</w:t>
      </w:r>
      <w:r w:rsidRPr="00014219">
        <w:rPr>
          <w:rFonts w:ascii="Arial" w:hAnsi="Arial" w:cs="Arial"/>
          <w:sz w:val="18"/>
          <w:szCs w:val="18"/>
        </w:rPr>
        <w:t xml:space="preserve"> =  PI</w:t>
      </w:r>
      <w:r w:rsidRPr="00014219">
        <w:rPr>
          <w:rFonts w:ascii="Arial" w:hAnsi="Arial" w:cs="Arial"/>
          <w:sz w:val="18"/>
          <w:szCs w:val="18"/>
          <w:vertAlign w:val="subscript"/>
        </w:rPr>
        <w:t>mot</w:t>
      </w:r>
      <w:r w:rsidRPr="00014219">
        <w:rPr>
          <w:rFonts w:ascii="Arial" w:hAnsi="Arial" w:cs="Arial"/>
          <w:sz w:val="18"/>
          <w:szCs w:val="18"/>
        </w:rPr>
        <w:t xml:space="preserve"> x (1-TEIF) x (1-IP)</w:t>
      </w:r>
    </w:p>
    <w:p w:rsidR="009B173C" w:rsidRPr="00014219" w:rsidRDefault="009B173C" w:rsidP="00396E14">
      <w:pPr>
        <w:spacing w:line="360" w:lineRule="auto"/>
        <w:rPr>
          <w:rFonts w:ascii="Arial" w:hAnsi="Arial" w:cs="Arial"/>
          <w:sz w:val="18"/>
          <w:szCs w:val="18"/>
        </w:rPr>
      </w:pPr>
    </w:p>
    <w:p w:rsidR="009B173C" w:rsidRPr="00014219" w:rsidRDefault="009B173C" w:rsidP="00396E14">
      <w:pPr>
        <w:spacing w:line="360" w:lineRule="auto"/>
        <w:rPr>
          <w:rFonts w:ascii="Arial" w:hAnsi="Arial" w:cs="Arial"/>
          <w:sz w:val="18"/>
          <w:szCs w:val="18"/>
        </w:rPr>
      </w:pPr>
      <w:r w:rsidRPr="00014219">
        <w:rPr>
          <w:rFonts w:ascii="Arial" w:hAnsi="Arial" w:cs="Arial"/>
          <w:sz w:val="18"/>
          <w:szCs w:val="18"/>
        </w:rPr>
        <w:t>Onde:</w:t>
      </w:r>
    </w:p>
    <w:p w:rsidR="009B173C" w:rsidRPr="00014219" w:rsidRDefault="00014219" w:rsidP="00396E14">
      <w:pPr>
        <w:spacing w:line="360" w:lineRule="auto"/>
        <w:rPr>
          <w:rFonts w:ascii="Arial" w:hAnsi="Arial" w:cs="Arial"/>
          <w:sz w:val="18"/>
          <w:szCs w:val="18"/>
        </w:rPr>
      </w:pPr>
      <w:r w:rsidRPr="00014219">
        <w:rPr>
          <w:rFonts w:ascii="Arial" w:hAnsi="Arial" w:cs="Arial"/>
          <w:sz w:val="18"/>
          <w:szCs w:val="18"/>
        </w:rPr>
        <w:t>PI</w:t>
      </w:r>
      <w:r w:rsidRPr="00014219">
        <w:rPr>
          <w:rFonts w:ascii="Arial" w:hAnsi="Arial" w:cs="Arial"/>
          <w:sz w:val="18"/>
          <w:szCs w:val="18"/>
          <w:vertAlign w:val="subscript"/>
        </w:rPr>
        <w:t>mot</w:t>
      </w:r>
      <w:r w:rsidRPr="00014219">
        <w:rPr>
          <w:rFonts w:ascii="Arial" w:hAnsi="Arial" w:cs="Arial"/>
          <w:sz w:val="18"/>
          <w:szCs w:val="18"/>
        </w:rPr>
        <w:t xml:space="preserve">  - potência instalada na unidade geradora;</w:t>
      </w:r>
    </w:p>
    <w:p w:rsidR="00014219" w:rsidRPr="00014219" w:rsidRDefault="00014219" w:rsidP="00396E14">
      <w:pPr>
        <w:spacing w:line="360" w:lineRule="auto"/>
        <w:rPr>
          <w:rFonts w:ascii="Arial" w:hAnsi="Arial" w:cs="Arial"/>
          <w:sz w:val="18"/>
          <w:szCs w:val="18"/>
        </w:rPr>
      </w:pPr>
      <w:r w:rsidRPr="00014219">
        <w:rPr>
          <w:rFonts w:ascii="Arial" w:hAnsi="Arial" w:cs="Arial"/>
          <w:sz w:val="18"/>
          <w:szCs w:val="18"/>
        </w:rPr>
        <w:t>TEIF – taxa equivalente de indisponibilidade forçada;</w:t>
      </w:r>
    </w:p>
    <w:p w:rsidR="00014219" w:rsidRDefault="00014219" w:rsidP="00396E14">
      <w:pPr>
        <w:spacing w:line="360" w:lineRule="auto"/>
        <w:rPr>
          <w:rFonts w:ascii="Arial" w:hAnsi="Arial" w:cs="Arial"/>
          <w:sz w:val="18"/>
          <w:szCs w:val="18"/>
        </w:rPr>
      </w:pPr>
      <w:r w:rsidRPr="00014219">
        <w:rPr>
          <w:rFonts w:ascii="Arial" w:hAnsi="Arial" w:cs="Arial"/>
          <w:sz w:val="18"/>
          <w:szCs w:val="18"/>
        </w:rPr>
        <w:t>IP – indisponibilidade programada.</w:t>
      </w:r>
    </w:p>
    <w:p w:rsidR="00014219" w:rsidRDefault="00014219" w:rsidP="00396E14">
      <w:pPr>
        <w:spacing w:line="360" w:lineRule="auto"/>
        <w:rPr>
          <w:rFonts w:ascii="Arial" w:hAnsi="Arial" w:cs="Arial"/>
          <w:sz w:val="18"/>
          <w:szCs w:val="18"/>
        </w:rPr>
      </w:pPr>
    </w:p>
    <w:p w:rsidR="00014219" w:rsidRDefault="00014219" w:rsidP="00396E14">
      <w:pPr>
        <w:spacing w:line="360" w:lineRule="auto"/>
        <w:jc w:val="both"/>
        <w:rPr>
          <w:rFonts w:ascii="Arial" w:hAnsi="Arial" w:cs="Arial"/>
          <w:sz w:val="18"/>
          <w:szCs w:val="18"/>
        </w:rPr>
      </w:pPr>
      <w:r>
        <w:rPr>
          <w:rFonts w:ascii="Arial" w:hAnsi="Arial" w:cs="Arial"/>
          <w:sz w:val="18"/>
          <w:szCs w:val="18"/>
        </w:rPr>
        <w:t>Ainda com relação ao relatório em tela destaca-se que na sua conclusão o grupo de trabalho desenvolve um cronograma para a revisão da metodologia</w:t>
      </w:r>
      <w:r w:rsidR="00396E14">
        <w:rPr>
          <w:rFonts w:ascii="Arial" w:hAnsi="Arial" w:cs="Arial"/>
          <w:sz w:val="18"/>
          <w:szCs w:val="18"/>
        </w:rPr>
        <w:t>,</w:t>
      </w:r>
      <w:r>
        <w:rPr>
          <w:rFonts w:ascii="Arial" w:hAnsi="Arial" w:cs="Arial"/>
          <w:sz w:val="18"/>
          <w:szCs w:val="18"/>
        </w:rPr>
        <w:t xml:space="preserve"> empregada no cálculo </w:t>
      </w:r>
      <w:r w:rsidR="00396E14">
        <w:rPr>
          <w:rFonts w:ascii="Arial" w:hAnsi="Arial" w:cs="Arial"/>
          <w:sz w:val="18"/>
          <w:szCs w:val="18"/>
        </w:rPr>
        <w:t>da energia e potência assegura</w:t>
      </w:r>
      <w:r>
        <w:rPr>
          <w:rFonts w:ascii="Arial" w:hAnsi="Arial" w:cs="Arial"/>
          <w:sz w:val="18"/>
          <w:szCs w:val="18"/>
        </w:rPr>
        <w:t xml:space="preserve">das </w:t>
      </w:r>
      <w:r w:rsidR="00396E14">
        <w:rPr>
          <w:rFonts w:ascii="Arial" w:hAnsi="Arial" w:cs="Arial"/>
          <w:sz w:val="18"/>
          <w:szCs w:val="18"/>
        </w:rPr>
        <w:t xml:space="preserve">das </w:t>
      </w:r>
      <w:r>
        <w:rPr>
          <w:rFonts w:ascii="Arial" w:hAnsi="Arial" w:cs="Arial"/>
          <w:sz w:val="18"/>
          <w:szCs w:val="18"/>
        </w:rPr>
        <w:t xml:space="preserve">usinas hidroelétricas. </w:t>
      </w:r>
    </w:p>
    <w:p w:rsidR="00014219" w:rsidRDefault="00014219" w:rsidP="00396E14">
      <w:pPr>
        <w:spacing w:line="360" w:lineRule="auto"/>
        <w:jc w:val="both"/>
        <w:rPr>
          <w:rFonts w:ascii="Arial" w:hAnsi="Arial" w:cs="Arial"/>
          <w:sz w:val="18"/>
          <w:szCs w:val="18"/>
        </w:rPr>
      </w:pPr>
    </w:p>
    <w:p w:rsidR="00014219" w:rsidRDefault="00014219" w:rsidP="00396E14">
      <w:pPr>
        <w:spacing w:line="360" w:lineRule="auto"/>
        <w:jc w:val="both"/>
        <w:rPr>
          <w:rFonts w:ascii="Arial" w:hAnsi="Arial" w:cs="Arial"/>
          <w:sz w:val="18"/>
          <w:szCs w:val="18"/>
        </w:rPr>
      </w:pPr>
      <w:r>
        <w:rPr>
          <w:rFonts w:ascii="Arial" w:hAnsi="Arial" w:cs="Arial"/>
          <w:sz w:val="18"/>
          <w:szCs w:val="18"/>
        </w:rPr>
        <w:t xml:space="preserve">A metodologia </w:t>
      </w:r>
      <w:r w:rsidR="007C28A0">
        <w:rPr>
          <w:rFonts w:ascii="Arial" w:hAnsi="Arial" w:cs="Arial"/>
          <w:sz w:val="18"/>
          <w:szCs w:val="18"/>
        </w:rPr>
        <w:t>contida em [22] propõe a substituição do crit</w:t>
      </w:r>
      <w:r w:rsidR="00F971C9">
        <w:rPr>
          <w:rFonts w:ascii="Arial" w:hAnsi="Arial" w:cs="Arial"/>
          <w:sz w:val="18"/>
          <w:szCs w:val="18"/>
        </w:rPr>
        <w:t>ér</w:t>
      </w:r>
      <w:r w:rsidR="00396E14">
        <w:rPr>
          <w:rFonts w:ascii="Arial" w:hAnsi="Arial" w:cs="Arial"/>
          <w:sz w:val="18"/>
          <w:szCs w:val="18"/>
        </w:rPr>
        <w:t xml:space="preserve">io </w:t>
      </w:r>
      <w:r w:rsidR="007C28A0">
        <w:rPr>
          <w:rFonts w:ascii="Arial" w:hAnsi="Arial" w:cs="Arial"/>
          <w:sz w:val="18"/>
          <w:szCs w:val="18"/>
        </w:rPr>
        <w:t>de risco explícito para um conceito econômico de igualdade entre os sutos marginais de expansão com o de operação com a explicitação do Custo de Déficit de Energia. As etapas de cálculo não diferem de recomendações anteriores. Entretanto, a garantia física de um empreendimento hidroelétrico apresenta um incremento relacionado ao benefício indireto obtido nas usinas a jusante e tem sua limitação relacionada a disponibilidade máxima de geração contínua</w:t>
      </w:r>
      <w:r w:rsidR="00F971C9">
        <w:rPr>
          <w:rFonts w:ascii="Arial" w:hAnsi="Arial" w:cs="Arial"/>
          <w:sz w:val="18"/>
          <w:szCs w:val="18"/>
        </w:rPr>
        <w:t>. Além disso, é apresentado o procedimento de cálculo da garantia física de empreendimentos eólicos.</w:t>
      </w:r>
    </w:p>
    <w:p w:rsidR="00F971C9" w:rsidRDefault="00F971C9" w:rsidP="00014219">
      <w:pPr>
        <w:rPr>
          <w:rFonts w:ascii="Arial" w:hAnsi="Arial" w:cs="Arial"/>
          <w:sz w:val="18"/>
          <w:szCs w:val="18"/>
        </w:rPr>
      </w:pPr>
    </w:p>
    <w:p w:rsidR="00F971C9" w:rsidRDefault="00D611A8" w:rsidP="00F971C9">
      <w:pPr>
        <w:pStyle w:val="Ttulo1"/>
        <w:rPr>
          <w:sz w:val="18"/>
          <w:szCs w:val="18"/>
        </w:rPr>
      </w:pPr>
      <w:r w:rsidRPr="00D611A8">
        <w:rPr>
          <w:sz w:val="18"/>
          <w:szCs w:val="18"/>
        </w:rPr>
        <w:t>4 ABORDAGEM MARGINALISTA</w:t>
      </w:r>
    </w:p>
    <w:p w:rsidR="00D611A8" w:rsidRDefault="00D611A8" w:rsidP="00D611A8"/>
    <w:p w:rsidR="00D611A8" w:rsidRDefault="00D611A8" w:rsidP="00396E14">
      <w:pPr>
        <w:spacing w:line="360" w:lineRule="auto"/>
        <w:rPr>
          <w:rFonts w:ascii="Arial" w:hAnsi="Arial" w:cs="Arial"/>
          <w:sz w:val="18"/>
          <w:szCs w:val="18"/>
        </w:rPr>
      </w:pPr>
      <w:r w:rsidRPr="00000050">
        <w:rPr>
          <w:rFonts w:ascii="Arial" w:hAnsi="Arial" w:cs="Arial"/>
          <w:sz w:val="18"/>
          <w:szCs w:val="18"/>
        </w:rPr>
        <w:t>A teoria baseada na tarifa a custos marginais teve sua origem</w:t>
      </w:r>
      <w:r w:rsidR="00000050">
        <w:rPr>
          <w:rFonts w:ascii="Arial" w:hAnsi="Arial" w:cs="Arial"/>
          <w:sz w:val="18"/>
          <w:szCs w:val="18"/>
        </w:rPr>
        <w:t xml:space="preserve"> nos estudos de [23,24</w:t>
      </w:r>
      <w:r w:rsidR="00B36CD6">
        <w:rPr>
          <w:rFonts w:ascii="Arial" w:hAnsi="Arial" w:cs="Arial"/>
          <w:sz w:val="18"/>
          <w:szCs w:val="18"/>
        </w:rPr>
        <w:t>,25 e 26</w:t>
      </w:r>
      <w:r w:rsidRPr="00000050">
        <w:rPr>
          <w:rFonts w:ascii="Arial" w:hAnsi="Arial" w:cs="Arial"/>
          <w:sz w:val="18"/>
          <w:szCs w:val="18"/>
        </w:rPr>
        <w:t>]</w:t>
      </w:r>
      <w:r w:rsidR="00000050" w:rsidRPr="00000050">
        <w:rPr>
          <w:rFonts w:ascii="Arial" w:hAnsi="Arial" w:cs="Arial"/>
          <w:sz w:val="18"/>
          <w:szCs w:val="18"/>
        </w:rPr>
        <w:t>. [6] comenta que seu objetivo “... visava aproximar o resultado teórico de um mercado competitivo no quadro de um monopólio controlado pelo poder público”.</w:t>
      </w:r>
    </w:p>
    <w:p w:rsidR="00DE0A8C" w:rsidRDefault="00DE0A8C" w:rsidP="00396E14">
      <w:pPr>
        <w:spacing w:line="360" w:lineRule="auto"/>
        <w:rPr>
          <w:rFonts w:ascii="Arial" w:hAnsi="Arial" w:cs="Arial"/>
          <w:sz w:val="18"/>
          <w:szCs w:val="18"/>
        </w:rPr>
      </w:pPr>
    </w:p>
    <w:p w:rsidR="00DE0A8C" w:rsidRDefault="00DE0A8C" w:rsidP="00396E14">
      <w:pPr>
        <w:spacing w:line="360" w:lineRule="auto"/>
        <w:rPr>
          <w:rFonts w:ascii="Arial" w:hAnsi="Arial" w:cs="Arial"/>
          <w:sz w:val="18"/>
          <w:szCs w:val="18"/>
        </w:rPr>
      </w:pPr>
      <w:r>
        <w:rPr>
          <w:rFonts w:ascii="Arial" w:hAnsi="Arial" w:cs="Arial"/>
          <w:sz w:val="18"/>
          <w:szCs w:val="18"/>
        </w:rPr>
        <w:t>Considerando os custos de interrupção e racionamento sofrido pelo consumidor tem-se que o Benefício Líquido é dado por:</w:t>
      </w:r>
    </w:p>
    <w:p w:rsidR="00DE0A8C" w:rsidRDefault="00DE0A8C" w:rsidP="00396E14">
      <w:pPr>
        <w:spacing w:line="360" w:lineRule="auto"/>
        <w:rPr>
          <w:rFonts w:ascii="Arial" w:hAnsi="Arial" w:cs="Arial"/>
          <w:sz w:val="18"/>
          <w:szCs w:val="18"/>
        </w:rPr>
      </w:pPr>
    </w:p>
    <w:p w:rsidR="00DE0A8C" w:rsidRDefault="00DE0A8C" w:rsidP="00396E14">
      <w:pPr>
        <w:spacing w:line="360" w:lineRule="auto"/>
        <w:rPr>
          <w:rFonts w:ascii="Arial" w:hAnsi="Arial" w:cs="Arial"/>
          <w:sz w:val="18"/>
          <w:szCs w:val="18"/>
        </w:rPr>
      </w:pPr>
      <w:r>
        <w:rPr>
          <w:rFonts w:ascii="Arial" w:hAnsi="Arial" w:cs="Arial"/>
          <w:sz w:val="18"/>
          <w:szCs w:val="18"/>
        </w:rPr>
        <w:t>BL (D,R) = BT(D) – CT(D,R) – CIR(D,R)</w:t>
      </w:r>
    </w:p>
    <w:p w:rsidR="00DE0A8C" w:rsidRDefault="00DE0A8C" w:rsidP="00396E14">
      <w:pPr>
        <w:spacing w:line="360" w:lineRule="auto"/>
        <w:rPr>
          <w:rFonts w:ascii="Arial" w:hAnsi="Arial" w:cs="Arial"/>
          <w:sz w:val="18"/>
          <w:szCs w:val="18"/>
        </w:rPr>
      </w:pPr>
    </w:p>
    <w:p w:rsidR="00DE0A8C" w:rsidRDefault="00DE0A8C" w:rsidP="00396E14">
      <w:pPr>
        <w:spacing w:line="360" w:lineRule="auto"/>
        <w:rPr>
          <w:rFonts w:ascii="Arial" w:hAnsi="Arial" w:cs="Arial"/>
          <w:sz w:val="18"/>
          <w:szCs w:val="18"/>
        </w:rPr>
      </w:pPr>
      <w:r>
        <w:rPr>
          <w:rFonts w:ascii="Arial" w:hAnsi="Arial" w:cs="Arial"/>
          <w:sz w:val="18"/>
          <w:szCs w:val="18"/>
        </w:rPr>
        <w:lastRenderedPageBreak/>
        <w:t>Onde:</w:t>
      </w:r>
    </w:p>
    <w:p w:rsidR="00DE0A8C" w:rsidRDefault="00DE0A8C" w:rsidP="00396E14">
      <w:pPr>
        <w:spacing w:line="360" w:lineRule="auto"/>
        <w:rPr>
          <w:rFonts w:ascii="Arial" w:hAnsi="Arial" w:cs="Arial"/>
          <w:sz w:val="18"/>
          <w:szCs w:val="18"/>
        </w:rPr>
      </w:pPr>
    </w:p>
    <w:p w:rsidR="00DE0A8C" w:rsidRDefault="00DE0A8C" w:rsidP="00396E14">
      <w:pPr>
        <w:spacing w:line="360" w:lineRule="auto"/>
        <w:rPr>
          <w:rFonts w:ascii="Arial" w:hAnsi="Arial" w:cs="Arial"/>
          <w:sz w:val="18"/>
          <w:szCs w:val="18"/>
        </w:rPr>
      </w:pPr>
      <w:r>
        <w:rPr>
          <w:rFonts w:ascii="Arial" w:hAnsi="Arial" w:cs="Arial"/>
          <w:sz w:val="18"/>
          <w:szCs w:val="18"/>
        </w:rPr>
        <w:t>BT – Benefício Total sem Interrupção e Racionamento;</w:t>
      </w:r>
    </w:p>
    <w:p w:rsidR="00DE0A8C" w:rsidRDefault="00DE0A8C" w:rsidP="00396E14">
      <w:pPr>
        <w:spacing w:line="360" w:lineRule="auto"/>
        <w:rPr>
          <w:rFonts w:ascii="Arial" w:hAnsi="Arial" w:cs="Arial"/>
          <w:sz w:val="18"/>
          <w:szCs w:val="18"/>
        </w:rPr>
      </w:pPr>
      <w:r>
        <w:rPr>
          <w:rFonts w:ascii="Arial" w:hAnsi="Arial" w:cs="Arial"/>
          <w:sz w:val="18"/>
          <w:szCs w:val="18"/>
        </w:rPr>
        <w:t>CT – Custo Total de Suprimento;</w:t>
      </w:r>
    </w:p>
    <w:p w:rsidR="00DE0A8C" w:rsidRDefault="00DE0A8C" w:rsidP="00396E14">
      <w:pPr>
        <w:spacing w:line="360" w:lineRule="auto"/>
        <w:rPr>
          <w:rFonts w:ascii="Arial" w:hAnsi="Arial" w:cs="Arial"/>
          <w:sz w:val="18"/>
          <w:szCs w:val="18"/>
        </w:rPr>
      </w:pPr>
      <w:r>
        <w:rPr>
          <w:rFonts w:ascii="Arial" w:hAnsi="Arial" w:cs="Arial"/>
          <w:sz w:val="18"/>
          <w:szCs w:val="18"/>
        </w:rPr>
        <w:t>D – Demanda;</w:t>
      </w:r>
    </w:p>
    <w:p w:rsidR="00DE0A8C" w:rsidRDefault="00DE0A8C" w:rsidP="00DE0A8C">
      <w:pPr>
        <w:rPr>
          <w:rFonts w:ascii="Arial" w:hAnsi="Arial" w:cs="Arial"/>
          <w:sz w:val="18"/>
          <w:szCs w:val="18"/>
        </w:rPr>
      </w:pPr>
      <w:r>
        <w:rPr>
          <w:rFonts w:ascii="Arial" w:hAnsi="Arial" w:cs="Arial"/>
          <w:sz w:val="18"/>
          <w:szCs w:val="18"/>
        </w:rPr>
        <w:t>C – Confiabilidade.</w:t>
      </w:r>
    </w:p>
    <w:p w:rsidR="00DE0A8C" w:rsidRDefault="00DE0A8C" w:rsidP="00DE0A8C">
      <w:pPr>
        <w:rPr>
          <w:rFonts w:ascii="Arial" w:hAnsi="Arial" w:cs="Arial"/>
          <w:sz w:val="18"/>
          <w:szCs w:val="18"/>
        </w:rPr>
      </w:pPr>
    </w:p>
    <w:p w:rsidR="00DE0A8C" w:rsidRDefault="00DE0A8C" w:rsidP="00DE0A8C">
      <w:pPr>
        <w:rPr>
          <w:rFonts w:ascii="Arial" w:hAnsi="Arial" w:cs="Arial"/>
          <w:sz w:val="18"/>
          <w:szCs w:val="18"/>
        </w:rPr>
      </w:pPr>
      <w:r>
        <w:rPr>
          <w:rFonts w:ascii="Arial" w:hAnsi="Arial" w:cs="Arial"/>
          <w:sz w:val="18"/>
          <w:szCs w:val="18"/>
        </w:rPr>
        <w:t>O nível ótimo de confiabilidade é dado quando:</w:t>
      </w:r>
    </w:p>
    <w:p w:rsidR="00DE0A8C" w:rsidRDefault="00DE0A8C" w:rsidP="00DE0A8C">
      <w:pPr>
        <w:rPr>
          <w:rFonts w:ascii="Arial" w:hAnsi="Arial" w:cs="Arial"/>
          <w:sz w:val="18"/>
          <w:szCs w:val="18"/>
        </w:rPr>
      </w:pPr>
    </w:p>
    <w:p w:rsidR="00DE0A8C" w:rsidRPr="001A4DF0" w:rsidRDefault="00E65268" w:rsidP="00DE0A8C">
      <w:pPr>
        <w:rPr>
          <w:rFonts w:ascii="Arial" w:hAnsi="Arial" w:cs="Arial"/>
        </w:rPr>
      </w:pPr>
      <m:oMath>
        <m:f>
          <m:fPr>
            <m:ctrlPr>
              <w:rPr>
                <w:rFonts w:ascii="Cambria Math" w:hAnsi="Cambria Math" w:cs="Arial"/>
                <w:i/>
                <w:sz w:val="28"/>
                <w:szCs w:val="28"/>
              </w:rPr>
            </m:ctrlPr>
          </m:fPr>
          <m:num>
            <m:r>
              <w:rPr>
                <w:rFonts w:ascii="Cambria Math" w:hAnsi="Cambria Math" w:cs="Arial"/>
                <w:sz w:val="28"/>
                <w:szCs w:val="28"/>
              </w:rPr>
              <m:t>dBL</m:t>
            </m:r>
          </m:num>
          <m:den>
            <m:r>
              <w:rPr>
                <w:rFonts w:ascii="Cambria Math" w:hAnsi="Cambria Math" w:cs="Arial"/>
                <w:sz w:val="28"/>
                <w:szCs w:val="28"/>
              </w:rPr>
              <m:t>dR</m:t>
            </m:r>
          </m:den>
        </m:f>
        <m:r>
          <w:rPr>
            <w:rFonts w:ascii="Cambria Math" w:hAnsi="Cambria Math" w:cs="Arial"/>
            <w:sz w:val="28"/>
            <w:szCs w:val="28"/>
          </w:rPr>
          <m:t>=0</m:t>
        </m:r>
      </m:oMath>
      <w:r w:rsidR="00DE0A8C" w:rsidRPr="001A4DF0">
        <w:rPr>
          <w:rFonts w:ascii="Arial" w:hAnsi="Arial" w:cs="Arial"/>
        </w:rPr>
        <w:t xml:space="preserve">, </w:t>
      </w:r>
      <w:r w:rsidR="00DE0A8C" w:rsidRPr="001A4DF0">
        <w:rPr>
          <w:rFonts w:ascii="Arial" w:hAnsi="Arial" w:cs="Arial"/>
          <w:sz w:val="18"/>
          <w:szCs w:val="18"/>
        </w:rPr>
        <w:t>mas</w:t>
      </w:r>
      <w:r w:rsidR="00DE0A8C" w:rsidRPr="001A4DF0">
        <w:rPr>
          <w:rFonts w:ascii="Arial" w:hAnsi="Arial" w:cs="Arial"/>
        </w:rPr>
        <w:t xml:space="preserve"> </w:t>
      </w:r>
      <m:oMath>
        <m:f>
          <m:fPr>
            <m:ctrlPr>
              <w:rPr>
                <w:rFonts w:ascii="Cambria Math" w:hAnsi="Cambria Math" w:cs="Arial"/>
                <w:i/>
                <w:sz w:val="28"/>
                <w:szCs w:val="28"/>
              </w:rPr>
            </m:ctrlPr>
          </m:fPr>
          <m:num>
            <m:r>
              <w:rPr>
                <w:rFonts w:ascii="Cambria Math" w:hAnsi="Cambria Math" w:cs="Arial"/>
                <w:sz w:val="28"/>
                <w:szCs w:val="28"/>
              </w:rPr>
              <m:t>dBL</m:t>
            </m:r>
          </m:num>
          <m:den>
            <m:r>
              <w:rPr>
                <w:rFonts w:ascii="Cambria Math" w:hAnsi="Cambria Math" w:cs="Arial"/>
                <w:sz w:val="28"/>
                <w:szCs w:val="28"/>
              </w:rPr>
              <m:t>dR</m:t>
            </m:r>
          </m:den>
        </m:f>
        <m:r>
          <w:rPr>
            <w:rFonts w:ascii="Cambria Math" w:hAnsi="Cambria Math" w:cs="Arial"/>
            <w:sz w:val="28"/>
            <w:szCs w:val="28"/>
          </w:rPr>
          <m:t>=</m:t>
        </m:r>
        <m:f>
          <m:fPr>
            <m:ctrlPr>
              <w:rPr>
                <w:rFonts w:ascii="Cambria Math" w:hAnsi="Cambria Math" w:cs="Arial"/>
                <w:i/>
                <w:sz w:val="28"/>
                <w:szCs w:val="28"/>
              </w:rPr>
            </m:ctrlPr>
          </m:fPr>
          <m:num>
            <m:r>
              <w:rPr>
                <w:rFonts w:ascii="Cambria Math" w:hAnsi="Cambria Math" w:cs="Arial"/>
                <w:sz w:val="28"/>
                <w:szCs w:val="28"/>
              </w:rPr>
              <m:t>∂BL</m:t>
            </m:r>
          </m:num>
          <m:den>
            <m:r>
              <w:rPr>
                <w:rFonts w:ascii="Cambria Math" w:hAnsi="Cambria Math" w:cs="Arial"/>
                <w:sz w:val="28"/>
                <w:szCs w:val="28"/>
              </w:rPr>
              <m:t>∂R</m:t>
            </m:r>
          </m:den>
        </m:f>
        <m:r>
          <w:rPr>
            <w:rFonts w:ascii="Cambria Math" w:hAnsi="Cambria Math" w:cs="Arial"/>
            <w:sz w:val="28"/>
            <w:szCs w:val="28"/>
          </w:rPr>
          <m:t>+</m:t>
        </m:r>
        <m:f>
          <m:fPr>
            <m:ctrlPr>
              <w:rPr>
                <w:rFonts w:ascii="Cambria Math" w:hAnsi="Cambria Math" w:cs="Arial"/>
                <w:i/>
                <w:sz w:val="28"/>
                <w:szCs w:val="28"/>
              </w:rPr>
            </m:ctrlPr>
          </m:fPr>
          <m:num>
            <m:r>
              <w:rPr>
                <w:rFonts w:ascii="Cambria Math" w:hAnsi="Cambria Math" w:cs="Arial"/>
                <w:sz w:val="28"/>
                <w:szCs w:val="28"/>
              </w:rPr>
              <m:t>∂BL</m:t>
            </m:r>
          </m:num>
          <m:den>
            <m:r>
              <w:rPr>
                <w:rFonts w:ascii="Cambria Math" w:hAnsi="Cambria Math" w:cs="Arial"/>
                <w:sz w:val="28"/>
                <w:szCs w:val="28"/>
              </w:rPr>
              <m:t>∂D</m:t>
            </m:r>
          </m:den>
        </m:f>
        <m:f>
          <m:fPr>
            <m:ctrlPr>
              <w:rPr>
                <w:rFonts w:ascii="Cambria Math" w:hAnsi="Cambria Math" w:cs="Arial"/>
                <w:i/>
                <w:sz w:val="28"/>
                <w:szCs w:val="28"/>
              </w:rPr>
            </m:ctrlPr>
          </m:fPr>
          <m:num>
            <m:r>
              <w:rPr>
                <w:rFonts w:ascii="Cambria Math" w:hAnsi="Cambria Math" w:cs="Arial"/>
                <w:sz w:val="28"/>
                <w:szCs w:val="28"/>
              </w:rPr>
              <m:t>∂D</m:t>
            </m:r>
          </m:num>
          <m:den>
            <m:r>
              <w:rPr>
                <w:rFonts w:ascii="Cambria Math" w:hAnsi="Cambria Math" w:cs="Arial"/>
                <w:sz w:val="28"/>
                <w:szCs w:val="28"/>
              </w:rPr>
              <m:t>∂R</m:t>
            </m:r>
          </m:den>
        </m:f>
      </m:oMath>
      <w:r w:rsidR="00DE0A8C" w:rsidRPr="001A4DF0">
        <w:rPr>
          <w:rFonts w:ascii="Arial" w:hAnsi="Arial" w:cs="Arial"/>
        </w:rPr>
        <w:t xml:space="preserve"> </w:t>
      </w:r>
      <w:r w:rsidR="00DE0A8C" w:rsidRPr="001A4DF0">
        <w:rPr>
          <w:rFonts w:ascii="Arial" w:hAnsi="Arial" w:cs="Arial"/>
          <w:sz w:val="18"/>
          <w:szCs w:val="18"/>
        </w:rPr>
        <w:t>como</w:t>
      </w:r>
      <w:r w:rsidR="00DE0A8C" w:rsidRPr="001A4DF0">
        <w:rPr>
          <w:rFonts w:ascii="Arial" w:hAnsi="Arial" w:cs="Arial"/>
        </w:rPr>
        <w:t xml:space="preserve"> </w:t>
      </w:r>
      <m:oMath>
        <m:f>
          <m:fPr>
            <m:ctrlPr>
              <w:rPr>
                <w:rFonts w:ascii="Cambria Math" w:hAnsi="Cambria Math" w:cs="Arial"/>
                <w:i/>
                <w:sz w:val="28"/>
                <w:szCs w:val="28"/>
              </w:rPr>
            </m:ctrlPr>
          </m:fPr>
          <m:num>
            <m:r>
              <w:rPr>
                <w:rFonts w:ascii="Cambria Math" w:hAnsi="Cambria Math" w:cs="Arial"/>
                <w:sz w:val="28"/>
                <w:szCs w:val="28"/>
              </w:rPr>
              <m:t>∂D</m:t>
            </m:r>
          </m:num>
          <m:den>
            <m:r>
              <w:rPr>
                <w:rFonts w:ascii="Cambria Math" w:hAnsi="Cambria Math" w:cs="Arial"/>
                <w:sz w:val="28"/>
                <w:szCs w:val="28"/>
              </w:rPr>
              <m:t>∂R</m:t>
            </m:r>
          </m:den>
        </m:f>
        <m:r>
          <w:rPr>
            <w:rFonts w:ascii="Cambria Math" w:hAnsi="Cambria Math" w:cs="Arial"/>
            <w:sz w:val="28"/>
            <w:szCs w:val="28"/>
          </w:rPr>
          <m:t>=0</m:t>
        </m:r>
      </m:oMath>
      <w:r w:rsidR="00DE0A8C" w:rsidRPr="001A4DF0">
        <w:rPr>
          <w:rFonts w:ascii="Arial" w:hAnsi="Arial" w:cs="Arial"/>
          <w:sz w:val="18"/>
          <w:szCs w:val="18"/>
        </w:rPr>
        <w:t xml:space="preserve"> </w:t>
      </w:r>
      <w:r w:rsidR="00396E14">
        <w:rPr>
          <w:rFonts w:ascii="Arial" w:hAnsi="Arial" w:cs="Arial"/>
          <w:sz w:val="18"/>
          <w:szCs w:val="18"/>
        </w:rPr>
        <w:t xml:space="preserve"> </w:t>
      </w:r>
      <w:r w:rsidR="00DE0A8C" w:rsidRPr="001A4DF0">
        <w:rPr>
          <w:rFonts w:ascii="Arial" w:hAnsi="Arial" w:cs="Arial"/>
          <w:sz w:val="18"/>
          <w:szCs w:val="18"/>
        </w:rPr>
        <w:t>tem-se</w:t>
      </w:r>
      <w:r w:rsidR="001A4DF0" w:rsidRPr="001A4DF0">
        <w:rPr>
          <w:rFonts w:ascii="Arial" w:hAnsi="Arial" w:cs="Arial"/>
          <w:sz w:val="18"/>
          <w:szCs w:val="18"/>
        </w:rPr>
        <w:t xml:space="preserve">: </w:t>
      </w:r>
    </w:p>
    <w:p w:rsidR="00DE0A8C" w:rsidRPr="001A4DF0" w:rsidRDefault="00DE0A8C" w:rsidP="00DE0A8C">
      <w:pPr>
        <w:rPr>
          <w:rFonts w:ascii="Arial" w:hAnsi="Arial" w:cs="Arial"/>
        </w:rPr>
      </w:pPr>
    </w:p>
    <w:p w:rsidR="00DE0A8C" w:rsidRPr="001A4DF0" w:rsidRDefault="00DE0A8C" w:rsidP="00D611A8">
      <w:pPr>
        <w:rPr>
          <w:rFonts w:ascii="Arial" w:hAnsi="Arial" w:cs="Arial"/>
        </w:rPr>
      </w:pPr>
    </w:p>
    <w:p w:rsidR="00DE0A8C" w:rsidRPr="001A4DF0" w:rsidRDefault="00E65268" w:rsidP="00D611A8">
      <w:pPr>
        <w:rPr>
          <w:rFonts w:ascii="Arial" w:hAnsi="Arial" w:cs="Arial"/>
        </w:rPr>
      </w:pPr>
      <m:oMath>
        <m:f>
          <m:fPr>
            <m:ctrlPr>
              <w:rPr>
                <w:rFonts w:ascii="Cambria Math" w:hAnsi="Cambria Math" w:cs="Arial"/>
                <w:i/>
                <w:sz w:val="28"/>
                <w:szCs w:val="28"/>
              </w:rPr>
            </m:ctrlPr>
          </m:fPr>
          <m:num>
            <m:r>
              <w:rPr>
                <w:rFonts w:ascii="Cambria Math" w:hAnsi="Cambria Math" w:cs="Arial"/>
                <w:sz w:val="28"/>
                <w:szCs w:val="28"/>
              </w:rPr>
              <m:t>dBL</m:t>
            </m:r>
          </m:num>
          <m:den>
            <m:r>
              <w:rPr>
                <w:rFonts w:ascii="Cambria Math" w:hAnsi="Cambria Math" w:cs="Arial"/>
                <w:sz w:val="28"/>
                <w:szCs w:val="28"/>
              </w:rPr>
              <m:t>dR</m:t>
            </m:r>
          </m:den>
        </m:f>
        <m:r>
          <w:rPr>
            <w:rFonts w:ascii="Cambria Math" w:hAnsi="Cambria Math" w:cs="Arial"/>
            <w:sz w:val="28"/>
            <w:szCs w:val="28"/>
          </w:rPr>
          <m:t>=</m:t>
        </m:r>
        <m:f>
          <m:fPr>
            <m:ctrlPr>
              <w:rPr>
                <w:rFonts w:ascii="Cambria Math" w:hAnsi="Cambria Math" w:cs="Arial"/>
                <w:i/>
                <w:sz w:val="28"/>
                <w:szCs w:val="28"/>
              </w:rPr>
            </m:ctrlPr>
          </m:fPr>
          <m:num>
            <m:r>
              <w:rPr>
                <w:rFonts w:ascii="Cambria Math" w:hAnsi="Cambria Math" w:cs="Arial"/>
                <w:sz w:val="28"/>
                <w:szCs w:val="28"/>
              </w:rPr>
              <m:t>∂BL</m:t>
            </m:r>
          </m:num>
          <m:den>
            <m:r>
              <w:rPr>
                <w:rFonts w:ascii="Cambria Math" w:hAnsi="Cambria Math" w:cs="Arial"/>
                <w:sz w:val="28"/>
                <w:szCs w:val="28"/>
              </w:rPr>
              <m:t>∂R</m:t>
            </m:r>
          </m:den>
        </m:f>
        <m:r>
          <w:rPr>
            <w:rFonts w:ascii="Cambria Math" w:hAnsi="Cambria Math" w:cs="Arial"/>
            <w:sz w:val="28"/>
            <w:szCs w:val="28"/>
          </w:rPr>
          <m:t>=-</m:t>
        </m:r>
        <m:d>
          <m:dPr>
            <m:ctrlPr>
              <w:rPr>
                <w:rFonts w:ascii="Cambria Math" w:hAnsi="Cambria Math" w:cs="Arial"/>
                <w:i/>
                <w:sz w:val="28"/>
                <w:szCs w:val="28"/>
              </w:rPr>
            </m:ctrlPr>
          </m:dPr>
          <m:e>
            <m:f>
              <m:fPr>
                <m:ctrlPr>
                  <w:rPr>
                    <w:rFonts w:ascii="Cambria Math" w:hAnsi="Cambria Math" w:cs="Arial"/>
                    <w:i/>
                    <w:sz w:val="28"/>
                    <w:szCs w:val="28"/>
                  </w:rPr>
                </m:ctrlPr>
              </m:fPr>
              <m:num>
                <m:r>
                  <w:rPr>
                    <w:rFonts w:ascii="Cambria Math" w:hAnsi="Cambria Math" w:cs="Arial"/>
                    <w:sz w:val="28"/>
                    <w:szCs w:val="28"/>
                  </w:rPr>
                  <m:t>∂CT</m:t>
                </m:r>
              </m:num>
              <m:den>
                <m:r>
                  <w:rPr>
                    <w:rFonts w:ascii="Cambria Math" w:hAnsi="Cambria Math" w:cs="Arial"/>
                    <w:sz w:val="28"/>
                    <w:szCs w:val="28"/>
                  </w:rPr>
                  <m:t>∂R</m:t>
                </m:r>
              </m:den>
            </m:f>
            <m:r>
              <w:rPr>
                <w:rFonts w:ascii="Cambria Math" w:hAnsi="Cambria Math" w:cs="Arial"/>
                <w:sz w:val="28"/>
                <w:szCs w:val="28"/>
              </w:rPr>
              <m:t>+</m:t>
            </m:r>
            <m:f>
              <m:fPr>
                <m:ctrlPr>
                  <w:rPr>
                    <w:rFonts w:ascii="Cambria Math" w:hAnsi="Cambria Math" w:cs="Arial"/>
                    <w:i/>
                    <w:sz w:val="28"/>
                    <w:szCs w:val="28"/>
                  </w:rPr>
                </m:ctrlPr>
              </m:fPr>
              <m:num>
                <m:r>
                  <w:rPr>
                    <w:rFonts w:ascii="Cambria Math" w:hAnsi="Cambria Math" w:cs="Arial"/>
                    <w:sz w:val="28"/>
                    <w:szCs w:val="28"/>
                  </w:rPr>
                  <m:t>∂CIR</m:t>
                </m:r>
              </m:num>
              <m:den>
                <m:r>
                  <w:rPr>
                    <w:rFonts w:ascii="Cambria Math" w:hAnsi="Cambria Math" w:cs="Arial"/>
                    <w:sz w:val="28"/>
                    <w:szCs w:val="28"/>
                  </w:rPr>
                  <m:t>∂R</m:t>
                </m:r>
              </m:den>
            </m:f>
          </m:e>
        </m:d>
        <m:r>
          <w:rPr>
            <w:rFonts w:ascii="Cambria Math" w:hAnsi="Cambria Math" w:cs="Arial"/>
            <w:sz w:val="28"/>
            <w:szCs w:val="28"/>
          </w:rPr>
          <m:t>=0</m:t>
        </m:r>
      </m:oMath>
      <w:r w:rsidR="001A4DF0" w:rsidRPr="001A4DF0">
        <w:rPr>
          <w:rFonts w:ascii="Arial" w:hAnsi="Arial" w:cs="Arial"/>
          <w:sz w:val="18"/>
          <w:szCs w:val="18"/>
        </w:rPr>
        <w:t xml:space="preserve"> </w:t>
      </w:r>
      <w:r w:rsidR="00396E14">
        <w:rPr>
          <w:rFonts w:ascii="Arial" w:hAnsi="Arial" w:cs="Arial"/>
          <w:sz w:val="18"/>
          <w:szCs w:val="18"/>
        </w:rPr>
        <w:t xml:space="preserve"> </w:t>
      </w:r>
      <w:r w:rsidR="001A4DF0" w:rsidRPr="001A4DF0">
        <w:rPr>
          <w:rFonts w:ascii="Arial" w:hAnsi="Arial" w:cs="Arial"/>
          <w:sz w:val="18"/>
          <w:szCs w:val="18"/>
        </w:rPr>
        <w:t xml:space="preserve">logo: </w:t>
      </w:r>
    </w:p>
    <w:p w:rsidR="009B173C" w:rsidRPr="001A4DF0" w:rsidRDefault="009B173C" w:rsidP="00FD67E5"/>
    <w:p w:rsidR="001A4DF0" w:rsidRPr="001A4DF0" w:rsidRDefault="00E65268" w:rsidP="00FD67E5">
      <m:oMathPara>
        <m:oMathParaPr>
          <m:jc m:val="left"/>
        </m:oMathParaPr>
        <m:oMath>
          <m:f>
            <m:fPr>
              <m:ctrlPr>
                <w:rPr>
                  <w:rFonts w:ascii="Cambria Math" w:hAnsi="Cambria Math" w:cs="Arial"/>
                  <w:i/>
                </w:rPr>
              </m:ctrlPr>
            </m:fPr>
            <m:num>
              <m:r>
                <w:rPr>
                  <w:rFonts w:ascii="Cambria Math" w:hAnsi="Cambria Math" w:cs="Arial"/>
                </w:rPr>
                <m:t>∂CT</m:t>
              </m:r>
            </m:num>
            <m:den>
              <m:r>
                <w:rPr>
                  <w:rFonts w:ascii="Cambria Math" w:hAnsi="Cambria Math" w:cs="Arial"/>
                </w:rPr>
                <m:t>∂R</m:t>
              </m:r>
            </m:den>
          </m:f>
          <m:r>
            <w:rPr>
              <w:rFonts w:ascii="Cambria Math" w:hAnsi="Cambria Math" w:cs="Arial"/>
            </w:rPr>
            <m:t>=-</m:t>
          </m:r>
          <m:f>
            <m:fPr>
              <m:ctrlPr>
                <w:rPr>
                  <w:rFonts w:ascii="Cambria Math" w:hAnsi="Cambria Math" w:cs="Arial"/>
                  <w:i/>
                </w:rPr>
              </m:ctrlPr>
            </m:fPr>
            <m:num>
              <m:r>
                <w:rPr>
                  <w:rFonts w:ascii="Cambria Math" w:hAnsi="Cambria Math" w:cs="Arial"/>
                </w:rPr>
                <m:t>∂CIR</m:t>
              </m:r>
            </m:num>
            <m:den>
              <m:r>
                <w:rPr>
                  <w:rFonts w:ascii="Cambria Math" w:hAnsi="Cambria Math" w:cs="Arial"/>
                </w:rPr>
                <m:t>∂R</m:t>
              </m:r>
            </m:den>
          </m:f>
        </m:oMath>
      </m:oMathPara>
    </w:p>
    <w:p w:rsidR="001A4DF0" w:rsidRDefault="001A4DF0" w:rsidP="00FD67E5"/>
    <w:p w:rsidR="001A4DF0" w:rsidRDefault="001A4DF0" w:rsidP="00396E14">
      <w:pPr>
        <w:spacing w:line="360" w:lineRule="auto"/>
        <w:jc w:val="both"/>
        <w:rPr>
          <w:rFonts w:ascii="Arial" w:hAnsi="Arial" w:cs="Arial"/>
          <w:sz w:val="18"/>
          <w:szCs w:val="18"/>
        </w:rPr>
      </w:pPr>
      <w:r w:rsidRPr="001A4DF0">
        <w:rPr>
          <w:rFonts w:ascii="Arial" w:hAnsi="Arial" w:cs="Arial"/>
          <w:sz w:val="18"/>
          <w:szCs w:val="18"/>
        </w:rPr>
        <w:t>A equação acima mostra que à medida que melhoramos a capacidade do sistema, com respectivo aumento do custo de suprimento, os riscos de racionamento e interrupção vai decrescendo. Isto implica numa diminuição dos respectivos custo</w:t>
      </w:r>
      <w:r w:rsidR="00396E14">
        <w:rPr>
          <w:rFonts w:ascii="Arial" w:hAnsi="Arial" w:cs="Arial"/>
          <w:sz w:val="18"/>
          <w:szCs w:val="18"/>
        </w:rPr>
        <w:t>s</w:t>
      </w:r>
      <w:r w:rsidRPr="001A4DF0">
        <w:rPr>
          <w:rFonts w:ascii="Arial" w:hAnsi="Arial" w:cs="Arial"/>
          <w:sz w:val="18"/>
          <w:szCs w:val="18"/>
        </w:rPr>
        <w:t xml:space="preserve"> e melhor confiabilidade.</w:t>
      </w:r>
    </w:p>
    <w:p w:rsidR="001A4DF0" w:rsidRDefault="001A4DF0" w:rsidP="00396E14">
      <w:pPr>
        <w:spacing w:line="360" w:lineRule="auto"/>
        <w:jc w:val="both"/>
        <w:rPr>
          <w:rFonts w:ascii="Arial" w:hAnsi="Arial" w:cs="Arial"/>
          <w:sz w:val="18"/>
          <w:szCs w:val="18"/>
        </w:rPr>
      </w:pPr>
    </w:p>
    <w:p w:rsidR="009147ED" w:rsidRDefault="001A4DF0" w:rsidP="00396E14">
      <w:pPr>
        <w:spacing w:line="360" w:lineRule="auto"/>
        <w:jc w:val="both"/>
        <w:rPr>
          <w:rFonts w:ascii="Arial" w:hAnsi="Arial" w:cs="Arial"/>
          <w:sz w:val="18"/>
          <w:szCs w:val="18"/>
        </w:rPr>
      </w:pPr>
      <w:r>
        <w:rPr>
          <w:rFonts w:ascii="Arial" w:hAnsi="Arial" w:cs="Arial"/>
          <w:sz w:val="18"/>
          <w:szCs w:val="18"/>
        </w:rPr>
        <w:t>Define-se Custo Marginal de Curto Prazo aplicado a energia elétrica</w:t>
      </w:r>
      <w:r w:rsidR="00DC4053">
        <w:rPr>
          <w:rFonts w:ascii="Arial" w:hAnsi="Arial" w:cs="Arial"/>
          <w:sz w:val="18"/>
          <w:szCs w:val="18"/>
        </w:rPr>
        <w:t xml:space="preserve"> como aquele capaz de atender uma carga adicional com capacidade fixada. Logo atenderá aumentos marginais nos custos de operação e de não atendimento. Já o Custo Marginal de Longo Prazo está relacionado ao custo de atendimento ao consumo adicional levando em consideração ampliações na capacidade, isto é, novos investimentos do sistema. A condição de otimalidade se dará na igualdade entre estes custos.</w:t>
      </w:r>
    </w:p>
    <w:p w:rsidR="009147ED" w:rsidRDefault="009147ED" w:rsidP="00396E14">
      <w:pPr>
        <w:spacing w:line="360" w:lineRule="auto"/>
        <w:jc w:val="both"/>
        <w:rPr>
          <w:rFonts w:ascii="Arial" w:hAnsi="Arial" w:cs="Arial"/>
          <w:sz w:val="18"/>
          <w:szCs w:val="18"/>
        </w:rPr>
      </w:pPr>
    </w:p>
    <w:p w:rsidR="009147ED" w:rsidRDefault="009147ED" w:rsidP="00396E14">
      <w:pPr>
        <w:spacing w:line="360" w:lineRule="auto"/>
        <w:jc w:val="both"/>
        <w:rPr>
          <w:rFonts w:ascii="Arial" w:hAnsi="Arial" w:cs="Arial"/>
          <w:sz w:val="18"/>
          <w:szCs w:val="18"/>
        </w:rPr>
      </w:pPr>
      <w:r w:rsidRPr="00B36CD6">
        <w:rPr>
          <w:rFonts w:ascii="Arial" w:hAnsi="Arial" w:cs="Arial"/>
          <w:sz w:val="18"/>
          <w:szCs w:val="18"/>
        </w:rPr>
        <w:t>Dado que o sistema elétrico brasileiro apresenta uma predominância hídrica, a metodologia a ser implementada é bastante diferente daquela utilizada em sistemas predominantemente térmicos.</w:t>
      </w:r>
      <w:r w:rsidR="00B36CD6">
        <w:rPr>
          <w:rFonts w:ascii="Arial" w:hAnsi="Arial" w:cs="Arial"/>
          <w:sz w:val="18"/>
          <w:szCs w:val="18"/>
        </w:rPr>
        <w:t xml:space="preserve"> </w:t>
      </w:r>
      <w:r w:rsidRPr="00B36CD6">
        <w:rPr>
          <w:rFonts w:ascii="Arial" w:hAnsi="Arial" w:cs="Arial"/>
          <w:sz w:val="18"/>
          <w:szCs w:val="18"/>
        </w:rPr>
        <w:t xml:space="preserve">Portanto, a função custo total de produção de energia elétrica, para um sistema predominantemente hidrelétrico, pode ser definido por </w:t>
      </w:r>
      <w:r w:rsidR="00B36CD6">
        <w:rPr>
          <w:rFonts w:ascii="Arial" w:hAnsi="Arial" w:cs="Arial"/>
          <w:sz w:val="18"/>
          <w:szCs w:val="18"/>
        </w:rPr>
        <w:t>[27]</w:t>
      </w:r>
      <w:r w:rsidRPr="00B36CD6">
        <w:rPr>
          <w:rFonts w:ascii="Arial" w:hAnsi="Arial" w:cs="Arial"/>
          <w:sz w:val="18"/>
          <w:szCs w:val="18"/>
        </w:rPr>
        <w:t>:</w:t>
      </w:r>
    </w:p>
    <w:p w:rsidR="00B36CD6" w:rsidRPr="00B36CD6" w:rsidRDefault="00B36CD6" w:rsidP="00B36CD6">
      <w:pPr>
        <w:rPr>
          <w:rFonts w:ascii="Arial" w:hAnsi="Arial" w:cs="Arial"/>
          <w:sz w:val="18"/>
          <w:szCs w:val="18"/>
        </w:rPr>
      </w:pPr>
    </w:p>
    <w:p w:rsidR="009147ED" w:rsidRDefault="009147ED" w:rsidP="009147ED">
      <w:pPr>
        <w:rPr>
          <w:rFonts w:ascii="Arial" w:hAnsi="Arial" w:cs="Arial"/>
          <w:sz w:val="18"/>
          <w:szCs w:val="18"/>
        </w:rPr>
      </w:pPr>
      <w:r w:rsidRPr="00B36CD6">
        <w:rPr>
          <w:rFonts w:ascii="Arial" w:hAnsi="Arial" w:cs="Arial"/>
          <w:sz w:val="18"/>
          <w:szCs w:val="18"/>
        </w:rPr>
        <w:t>CT = f(I,O&amp;M,GT,D)</w:t>
      </w:r>
    </w:p>
    <w:p w:rsidR="00B36CD6" w:rsidRPr="00B36CD6" w:rsidRDefault="00B36CD6" w:rsidP="009147ED">
      <w:pPr>
        <w:rPr>
          <w:rFonts w:ascii="Arial" w:hAnsi="Arial" w:cs="Arial"/>
          <w:sz w:val="18"/>
          <w:szCs w:val="18"/>
        </w:rPr>
      </w:pPr>
    </w:p>
    <w:p w:rsidR="009147ED" w:rsidRDefault="009147ED" w:rsidP="009147ED">
      <w:pPr>
        <w:rPr>
          <w:rFonts w:ascii="Arial" w:hAnsi="Arial" w:cs="Arial"/>
          <w:sz w:val="18"/>
          <w:szCs w:val="18"/>
        </w:rPr>
      </w:pPr>
      <w:r w:rsidRPr="00B36CD6">
        <w:rPr>
          <w:rFonts w:ascii="Arial" w:hAnsi="Arial" w:cs="Arial"/>
          <w:sz w:val="18"/>
          <w:szCs w:val="18"/>
        </w:rPr>
        <w:t>onde:</w:t>
      </w:r>
    </w:p>
    <w:p w:rsidR="00B36CD6" w:rsidRPr="00B36CD6" w:rsidRDefault="00B36CD6" w:rsidP="009147ED">
      <w:pPr>
        <w:rPr>
          <w:rFonts w:ascii="Arial" w:hAnsi="Arial" w:cs="Arial"/>
          <w:sz w:val="18"/>
          <w:szCs w:val="18"/>
        </w:rPr>
      </w:pPr>
    </w:p>
    <w:p w:rsidR="009147ED" w:rsidRDefault="009147ED" w:rsidP="009147ED">
      <w:pPr>
        <w:rPr>
          <w:rFonts w:ascii="Arial" w:hAnsi="Arial" w:cs="Arial"/>
          <w:sz w:val="18"/>
          <w:szCs w:val="18"/>
        </w:rPr>
      </w:pPr>
      <w:r w:rsidRPr="00B36CD6">
        <w:rPr>
          <w:rFonts w:ascii="Arial" w:hAnsi="Arial" w:cs="Arial"/>
          <w:sz w:val="18"/>
          <w:szCs w:val="18"/>
        </w:rPr>
        <w:t>I – investimento em novas obras de geração;</w:t>
      </w:r>
    </w:p>
    <w:p w:rsidR="00B36CD6" w:rsidRPr="00B36CD6" w:rsidRDefault="00B36CD6" w:rsidP="009147ED">
      <w:pPr>
        <w:rPr>
          <w:rFonts w:ascii="Arial" w:hAnsi="Arial" w:cs="Arial"/>
          <w:sz w:val="18"/>
          <w:szCs w:val="18"/>
        </w:rPr>
      </w:pPr>
    </w:p>
    <w:p w:rsidR="009147ED" w:rsidRDefault="009147ED" w:rsidP="009147ED">
      <w:pPr>
        <w:rPr>
          <w:rFonts w:ascii="Arial" w:hAnsi="Arial" w:cs="Arial"/>
          <w:sz w:val="18"/>
          <w:szCs w:val="18"/>
        </w:rPr>
      </w:pPr>
      <w:r w:rsidRPr="00B36CD6">
        <w:rPr>
          <w:rFonts w:ascii="Arial" w:hAnsi="Arial" w:cs="Arial"/>
          <w:sz w:val="18"/>
          <w:szCs w:val="18"/>
        </w:rPr>
        <w:t>O&amp;M – operação e manutenção;</w:t>
      </w:r>
    </w:p>
    <w:p w:rsidR="00B36CD6" w:rsidRPr="00B36CD6" w:rsidRDefault="00B36CD6" w:rsidP="009147ED">
      <w:pPr>
        <w:rPr>
          <w:rFonts w:ascii="Arial" w:hAnsi="Arial" w:cs="Arial"/>
          <w:sz w:val="18"/>
          <w:szCs w:val="18"/>
        </w:rPr>
      </w:pPr>
    </w:p>
    <w:p w:rsidR="009147ED" w:rsidRDefault="009147ED" w:rsidP="009147ED">
      <w:pPr>
        <w:rPr>
          <w:rFonts w:ascii="Arial" w:hAnsi="Arial" w:cs="Arial"/>
          <w:sz w:val="18"/>
          <w:szCs w:val="18"/>
        </w:rPr>
      </w:pPr>
      <w:r w:rsidRPr="00B36CD6">
        <w:rPr>
          <w:rFonts w:ascii="Arial" w:hAnsi="Arial" w:cs="Arial"/>
          <w:sz w:val="18"/>
          <w:szCs w:val="18"/>
        </w:rPr>
        <w:t>GT – geração térmica;</w:t>
      </w:r>
    </w:p>
    <w:p w:rsidR="00B36CD6" w:rsidRPr="00B36CD6" w:rsidRDefault="00B36CD6" w:rsidP="009147ED">
      <w:pPr>
        <w:rPr>
          <w:rFonts w:ascii="Arial" w:hAnsi="Arial" w:cs="Arial"/>
          <w:sz w:val="18"/>
          <w:szCs w:val="18"/>
        </w:rPr>
      </w:pPr>
    </w:p>
    <w:p w:rsidR="009147ED" w:rsidRDefault="009147ED" w:rsidP="009147ED">
      <w:pPr>
        <w:rPr>
          <w:rFonts w:ascii="Arial" w:hAnsi="Arial" w:cs="Arial"/>
          <w:sz w:val="18"/>
          <w:szCs w:val="18"/>
        </w:rPr>
      </w:pPr>
      <w:r w:rsidRPr="00B36CD6">
        <w:rPr>
          <w:rFonts w:ascii="Arial" w:hAnsi="Arial" w:cs="Arial"/>
          <w:sz w:val="18"/>
          <w:szCs w:val="18"/>
        </w:rPr>
        <w:t>D – déficit de energia.</w:t>
      </w:r>
    </w:p>
    <w:p w:rsidR="00B36CD6" w:rsidRPr="00B36CD6" w:rsidRDefault="00B36CD6" w:rsidP="009147ED">
      <w:pPr>
        <w:rPr>
          <w:rFonts w:ascii="Arial" w:hAnsi="Arial" w:cs="Arial"/>
          <w:sz w:val="18"/>
          <w:szCs w:val="18"/>
        </w:rPr>
      </w:pPr>
    </w:p>
    <w:p w:rsidR="009147ED" w:rsidRDefault="009147ED" w:rsidP="009147ED">
      <w:pPr>
        <w:rPr>
          <w:rFonts w:ascii="Arial" w:hAnsi="Arial" w:cs="Arial"/>
          <w:sz w:val="18"/>
          <w:szCs w:val="18"/>
        </w:rPr>
      </w:pPr>
      <w:r w:rsidRPr="00B36CD6">
        <w:rPr>
          <w:rFonts w:ascii="Arial" w:hAnsi="Arial" w:cs="Arial"/>
          <w:sz w:val="18"/>
          <w:szCs w:val="18"/>
        </w:rPr>
        <w:lastRenderedPageBreak/>
        <w:t>Seja a função de produção</w:t>
      </w:r>
      <w:r w:rsidRPr="00B36CD6">
        <w:rPr>
          <w:rStyle w:val="Refdenotaderodap"/>
          <w:rFonts w:ascii="Arial" w:hAnsi="Arial" w:cs="Arial"/>
          <w:sz w:val="18"/>
          <w:szCs w:val="18"/>
        </w:rPr>
        <w:footnoteReference w:id="6"/>
      </w:r>
      <w:r w:rsidRPr="00B36CD6">
        <w:rPr>
          <w:rFonts w:ascii="Arial" w:hAnsi="Arial" w:cs="Arial"/>
          <w:sz w:val="18"/>
          <w:szCs w:val="18"/>
        </w:rPr>
        <w:t>, para atender a um determinado requisito de energia, dada por:</w:t>
      </w:r>
    </w:p>
    <w:p w:rsidR="00B36CD6" w:rsidRPr="00B36CD6" w:rsidRDefault="00B36CD6" w:rsidP="009147ED">
      <w:pPr>
        <w:rPr>
          <w:rFonts w:ascii="Arial" w:hAnsi="Arial" w:cs="Arial"/>
          <w:sz w:val="18"/>
          <w:szCs w:val="18"/>
        </w:rPr>
      </w:pPr>
    </w:p>
    <w:p w:rsidR="009147ED" w:rsidRDefault="009147ED" w:rsidP="009147ED">
      <w:pPr>
        <w:rPr>
          <w:rFonts w:ascii="Arial" w:hAnsi="Arial" w:cs="Arial"/>
          <w:sz w:val="18"/>
          <w:szCs w:val="18"/>
        </w:rPr>
      </w:pPr>
      <w:r w:rsidRPr="00B36CD6">
        <w:rPr>
          <w:rFonts w:ascii="Arial" w:hAnsi="Arial" w:cs="Arial"/>
          <w:sz w:val="18"/>
          <w:szCs w:val="18"/>
        </w:rPr>
        <w:t>M = g(I,O&amp;M,GT,D)</w:t>
      </w:r>
    </w:p>
    <w:p w:rsidR="00B36CD6" w:rsidRPr="00B36CD6" w:rsidRDefault="00B36CD6" w:rsidP="009147ED">
      <w:pPr>
        <w:rPr>
          <w:rFonts w:ascii="Arial" w:hAnsi="Arial" w:cs="Arial"/>
          <w:sz w:val="18"/>
          <w:szCs w:val="18"/>
        </w:rPr>
      </w:pPr>
    </w:p>
    <w:p w:rsidR="009147ED" w:rsidRPr="00B36CD6" w:rsidRDefault="009147ED" w:rsidP="00B36CD6">
      <w:pPr>
        <w:spacing w:line="360" w:lineRule="auto"/>
        <w:jc w:val="both"/>
        <w:rPr>
          <w:rFonts w:ascii="Arial" w:hAnsi="Arial" w:cs="Arial"/>
          <w:sz w:val="18"/>
          <w:szCs w:val="18"/>
        </w:rPr>
      </w:pPr>
      <w:r w:rsidRPr="00B36CD6">
        <w:rPr>
          <w:rFonts w:ascii="Arial" w:hAnsi="Arial" w:cs="Arial"/>
          <w:sz w:val="18"/>
          <w:szCs w:val="18"/>
        </w:rPr>
        <w:t>Com as equações acima pode-se formar um problema de otimização que é a minimização da função custo total, sujeita a atender um determinado requisito de energia. Matematicamente, tem-se:</w:t>
      </w:r>
    </w:p>
    <w:p w:rsidR="009147ED" w:rsidRPr="00B36CD6" w:rsidRDefault="009147ED" w:rsidP="00B36CD6">
      <w:pPr>
        <w:spacing w:line="360" w:lineRule="auto"/>
        <w:jc w:val="both"/>
        <w:rPr>
          <w:rFonts w:ascii="Arial" w:hAnsi="Arial" w:cs="Arial"/>
          <w:sz w:val="18"/>
          <w:szCs w:val="18"/>
        </w:rPr>
      </w:pPr>
      <w:r w:rsidRPr="00B36CD6">
        <w:rPr>
          <w:rFonts w:ascii="Arial" w:hAnsi="Arial" w:cs="Arial"/>
          <w:sz w:val="18"/>
          <w:szCs w:val="18"/>
        </w:rPr>
        <w:t>Minimizar f(I,O&amp;M,GT,D)</w:t>
      </w:r>
    </w:p>
    <w:p w:rsidR="009147ED" w:rsidRPr="00B36CD6" w:rsidRDefault="009147ED" w:rsidP="00B36CD6">
      <w:pPr>
        <w:spacing w:line="360" w:lineRule="auto"/>
        <w:jc w:val="both"/>
        <w:rPr>
          <w:rFonts w:ascii="Arial" w:hAnsi="Arial" w:cs="Arial"/>
          <w:sz w:val="18"/>
          <w:szCs w:val="18"/>
        </w:rPr>
      </w:pPr>
      <w:r w:rsidRPr="00B36CD6">
        <w:rPr>
          <w:rFonts w:ascii="Arial" w:hAnsi="Arial" w:cs="Arial"/>
          <w:sz w:val="18"/>
          <w:szCs w:val="18"/>
        </w:rPr>
        <w:t>sujeita a:</w:t>
      </w:r>
    </w:p>
    <w:p w:rsidR="009147ED" w:rsidRPr="00B36CD6" w:rsidRDefault="009147ED" w:rsidP="00B36CD6">
      <w:pPr>
        <w:spacing w:line="360" w:lineRule="auto"/>
        <w:jc w:val="both"/>
        <w:rPr>
          <w:rFonts w:ascii="Arial" w:hAnsi="Arial" w:cs="Arial"/>
          <w:sz w:val="18"/>
          <w:szCs w:val="18"/>
        </w:rPr>
      </w:pPr>
      <w:r w:rsidRPr="00B36CD6">
        <w:rPr>
          <w:rFonts w:ascii="Arial" w:hAnsi="Arial" w:cs="Arial"/>
          <w:sz w:val="18"/>
          <w:szCs w:val="18"/>
        </w:rPr>
        <w:t>g(I,O&amp;M,GT,D) – M = 0</w:t>
      </w:r>
    </w:p>
    <w:p w:rsidR="009147ED" w:rsidRPr="00B36CD6" w:rsidRDefault="009147ED" w:rsidP="00B36CD6">
      <w:pPr>
        <w:spacing w:line="360" w:lineRule="auto"/>
        <w:jc w:val="both"/>
        <w:rPr>
          <w:rFonts w:ascii="Arial" w:hAnsi="Arial" w:cs="Arial"/>
          <w:sz w:val="18"/>
          <w:szCs w:val="18"/>
        </w:rPr>
      </w:pPr>
      <w:r w:rsidRPr="00B36CD6">
        <w:rPr>
          <w:rFonts w:ascii="Arial" w:hAnsi="Arial" w:cs="Arial"/>
          <w:sz w:val="18"/>
          <w:szCs w:val="18"/>
        </w:rPr>
        <w:t>Portanto, a Função Lagrangeana é:</w:t>
      </w:r>
    </w:p>
    <w:p w:rsidR="009147ED" w:rsidRPr="00B36CD6" w:rsidRDefault="009147ED" w:rsidP="00B36CD6">
      <w:pPr>
        <w:spacing w:line="360" w:lineRule="auto"/>
        <w:jc w:val="both"/>
        <w:rPr>
          <w:rFonts w:ascii="Arial" w:hAnsi="Arial" w:cs="Arial"/>
          <w:sz w:val="18"/>
          <w:szCs w:val="18"/>
        </w:rPr>
      </w:pPr>
      <w:r w:rsidRPr="00B36CD6">
        <w:rPr>
          <w:rFonts w:ascii="Arial" w:hAnsi="Arial" w:cs="Arial"/>
          <w:sz w:val="18"/>
          <w:szCs w:val="18"/>
        </w:rPr>
        <w:t xml:space="preserve">F(I,GT,D) = f(I,O&amp;M,GT,D) + </w:t>
      </w:r>
      <w:r w:rsidRPr="00B36CD6">
        <w:rPr>
          <w:rFonts w:ascii="Arial" w:hAnsi="Arial" w:cs="Arial"/>
          <w:sz w:val="18"/>
          <w:szCs w:val="18"/>
        </w:rPr>
        <w:sym w:font="Symbol" w:char="F06C"/>
      </w:r>
      <w:r w:rsidRPr="00B36CD6">
        <w:rPr>
          <w:rFonts w:ascii="Arial" w:hAnsi="Arial" w:cs="Arial"/>
          <w:sz w:val="18"/>
          <w:szCs w:val="18"/>
        </w:rPr>
        <w:t xml:space="preserve"> (g(I,O&amp;M,GT,D)-M)</w:t>
      </w:r>
    </w:p>
    <w:p w:rsidR="00667572" w:rsidRDefault="00597F41" w:rsidP="00B36CD6">
      <w:pPr>
        <w:spacing w:line="360" w:lineRule="auto"/>
        <w:jc w:val="both"/>
        <w:rPr>
          <w:rFonts w:ascii="Arial" w:hAnsi="Arial" w:cs="Arial"/>
          <w:sz w:val="18"/>
          <w:szCs w:val="18"/>
        </w:rPr>
      </w:pPr>
      <w:r>
        <w:rPr>
          <w:rFonts w:ascii="Arial" w:hAnsi="Arial" w:cs="Arial"/>
          <w:sz w:val="18"/>
          <w:szCs w:val="18"/>
        </w:rPr>
        <w:t>Aplicando as</w:t>
      </w:r>
      <w:r w:rsidR="009147ED" w:rsidRPr="00B36CD6">
        <w:rPr>
          <w:rFonts w:ascii="Arial" w:hAnsi="Arial" w:cs="Arial"/>
          <w:sz w:val="18"/>
          <w:szCs w:val="18"/>
        </w:rPr>
        <w:t xml:space="preserve"> condições de 1</w:t>
      </w:r>
      <w:r w:rsidR="009147ED" w:rsidRPr="00B36CD6">
        <w:rPr>
          <w:rFonts w:ascii="Arial" w:hAnsi="Arial" w:cs="Arial"/>
          <w:sz w:val="18"/>
          <w:szCs w:val="18"/>
          <w:u w:val="single"/>
          <w:vertAlign w:val="superscript"/>
        </w:rPr>
        <w:t>a</w:t>
      </w:r>
      <w:r w:rsidR="009147ED" w:rsidRPr="00B36CD6">
        <w:rPr>
          <w:rFonts w:ascii="Arial" w:hAnsi="Arial" w:cs="Arial"/>
          <w:sz w:val="18"/>
          <w:szCs w:val="18"/>
        </w:rPr>
        <w:t xml:space="preserve"> ordem para um mínimo </w:t>
      </w:r>
      <w:r>
        <w:rPr>
          <w:rFonts w:ascii="Arial" w:hAnsi="Arial" w:cs="Arial"/>
          <w:sz w:val="18"/>
          <w:szCs w:val="18"/>
        </w:rPr>
        <w:t>e igualando as equações tem-se</w:t>
      </w:r>
      <w:r w:rsidR="009147ED" w:rsidRPr="00B36CD6">
        <w:rPr>
          <w:rFonts w:ascii="Arial" w:hAnsi="Arial" w:cs="Arial"/>
          <w:sz w:val="18"/>
          <w:szCs w:val="18"/>
        </w:rPr>
        <w:t>:</w:t>
      </w:r>
    </w:p>
    <w:p w:rsidR="001A4DF0" w:rsidRDefault="001A4DF0" w:rsidP="00B36CD6">
      <w:pPr>
        <w:spacing w:line="360" w:lineRule="auto"/>
        <w:jc w:val="both"/>
        <w:rPr>
          <w:rFonts w:ascii="Arial" w:hAnsi="Arial" w:cs="Arial"/>
          <w:sz w:val="18"/>
          <w:szCs w:val="18"/>
        </w:rPr>
      </w:pPr>
      <w:r>
        <w:rPr>
          <w:rFonts w:ascii="Arial" w:hAnsi="Arial" w:cs="Arial"/>
          <w:sz w:val="18"/>
          <w:szCs w:val="18"/>
        </w:rPr>
        <w:t xml:space="preserve"> </w:t>
      </w:r>
    </w:p>
    <w:p w:rsidR="00667572" w:rsidRPr="00667572" w:rsidRDefault="00E65268">
      <w:pPr>
        <w:rPr>
          <w:sz w:val="18"/>
          <w:szCs w:val="18"/>
        </w:rPr>
      </w:pPr>
      <m:oMathPara>
        <m:oMathParaPr>
          <m:jc m:val="left"/>
        </m:oMathParaPr>
        <m:oMath>
          <m:f>
            <m:fPr>
              <m:ctrlPr>
                <w:rPr>
                  <w:rFonts w:ascii="Cambria Math" w:hAnsi="Cambria Math" w:cs="Arial"/>
                  <w:i/>
                </w:rPr>
              </m:ctrlPr>
            </m:fPr>
            <m:num>
              <m:f>
                <m:fPr>
                  <m:type m:val="skw"/>
                  <m:ctrlPr>
                    <w:rPr>
                      <w:rFonts w:ascii="Cambria Math" w:hAnsi="Cambria Math" w:cs="Arial"/>
                      <w:i/>
                    </w:rPr>
                  </m:ctrlPr>
                </m:fPr>
                <m:num>
                  <m:r>
                    <w:rPr>
                      <w:rFonts w:ascii="Cambria Math" w:hAnsi="Cambria Math" w:cs="Arial"/>
                    </w:rPr>
                    <m:t>∂f</m:t>
                  </m:r>
                </m:num>
                <m:den>
                  <m:r>
                    <w:rPr>
                      <w:rFonts w:ascii="Cambria Math" w:hAnsi="Cambria Math" w:cs="Arial"/>
                    </w:rPr>
                    <m:t>∂I</m:t>
                  </m:r>
                </m:den>
              </m:f>
            </m:num>
            <m:den>
              <m:f>
                <m:fPr>
                  <m:type m:val="skw"/>
                  <m:ctrlPr>
                    <w:rPr>
                      <w:rFonts w:ascii="Cambria Math" w:hAnsi="Cambria Math" w:cs="Arial"/>
                      <w:i/>
                    </w:rPr>
                  </m:ctrlPr>
                </m:fPr>
                <m:num>
                  <m:r>
                    <w:rPr>
                      <w:rFonts w:ascii="Cambria Math" w:hAnsi="Cambria Math" w:cs="Arial"/>
                    </w:rPr>
                    <m:t>∂g</m:t>
                  </m:r>
                </m:num>
                <m:den>
                  <m:r>
                    <w:rPr>
                      <w:rFonts w:ascii="Cambria Math" w:hAnsi="Cambria Math" w:cs="Arial"/>
                    </w:rPr>
                    <m:t>∂I</m:t>
                  </m:r>
                </m:den>
              </m:f>
            </m:den>
          </m:f>
          <m:r>
            <w:rPr>
              <w:rFonts w:ascii="Cambria Math" w:hAnsi="Cambria Math" w:cs="Arial"/>
            </w:rPr>
            <m:t>=</m:t>
          </m:r>
          <m:f>
            <m:fPr>
              <m:ctrlPr>
                <w:rPr>
                  <w:rFonts w:ascii="Cambria Math" w:hAnsi="Cambria Math" w:cs="Arial"/>
                  <w:i/>
                </w:rPr>
              </m:ctrlPr>
            </m:fPr>
            <m:num>
              <m:f>
                <m:fPr>
                  <m:type m:val="skw"/>
                  <m:ctrlPr>
                    <w:rPr>
                      <w:rFonts w:ascii="Cambria Math" w:hAnsi="Cambria Math" w:cs="Arial"/>
                      <w:i/>
                    </w:rPr>
                  </m:ctrlPr>
                </m:fPr>
                <m:num>
                  <m:r>
                    <w:rPr>
                      <w:rFonts w:ascii="Cambria Math" w:hAnsi="Cambria Math" w:cs="Arial"/>
                    </w:rPr>
                    <m:t>∂f</m:t>
                  </m:r>
                </m:num>
                <m:den>
                  <m:r>
                    <w:rPr>
                      <w:rFonts w:ascii="Cambria Math" w:hAnsi="Cambria Math" w:cs="Arial"/>
                    </w:rPr>
                    <m:t>∂O&amp;M</m:t>
                  </m:r>
                </m:den>
              </m:f>
            </m:num>
            <m:den>
              <m:f>
                <m:fPr>
                  <m:type m:val="skw"/>
                  <m:ctrlPr>
                    <w:rPr>
                      <w:rFonts w:ascii="Cambria Math" w:hAnsi="Cambria Math" w:cs="Arial"/>
                      <w:i/>
                    </w:rPr>
                  </m:ctrlPr>
                </m:fPr>
                <m:num>
                  <m:r>
                    <w:rPr>
                      <w:rFonts w:ascii="Cambria Math" w:hAnsi="Cambria Math" w:cs="Arial"/>
                    </w:rPr>
                    <m:t>∂g</m:t>
                  </m:r>
                </m:num>
                <m:den>
                  <m:r>
                    <w:rPr>
                      <w:rFonts w:ascii="Cambria Math" w:hAnsi="Cambria Math" w:cs="Arial"/>
                    </w:rPr>
                    <m:t>∂O&amp;M</m:t>
                  </m:r>
                </m:den>
              </m:f>
            </m:den>
          </m:f>
          <m:r>
            <w:rPr>
              <w:rFonts w:ascii="Cambria Math" w:hAnsi="Cambria Math" w:cs="Arial"/>
            </w:rPr>
            <m:t>=</m:t>
          </m:r>
          <m:f>
            <m:fPr>
              <m:ctrlPr>
                <w:rPr>
                  <w:rFonts w:ascii="Cambria Math" w:hAnsi="Cambria Math" w:cs="Arial"/>
                  <w:i/>
                </w:rPr>
              </m:ctrlPr>
            </m:fPr>
            <m:num>
              <m:f>
                <m:fPr>
                  <m:type m:val="skw"/>
                  <m:ctrlPr>
                    <w:rPr>
                      <w:rFonts w:ascii="Cambria Math" w:hAnsi="Cambria Math" w:cs="Arial"/>
                      <w:i/>
                    </w:rPr>
                  </m:ctrlPr>
                </m:fPr>
                <m:num>
                  <m:r>
                    <w:rPr>
                      <w:rFonts w:ascii="Cambria Math" w:hAnsi="Cambria Math" w:cs="Arial"/>
                    </w:rPr>
                    <m:t>∂f</m:t>
                  </m:r>
                </m:num>
                <m:den>
                  <m:r>
                    <w:rPr>
                      <w:rFonts w:ascii="Cambria Math" w:hAnsi="Cambria Math" w:cs="Arial"/>
                    </w:rPr>
                    <m:t>∂GT</m:t>
                  </m:r>
                </m:den>
              </m:f>
            </m:num>
            <m:den>
              <m:f>
                <m:fPr>
                  <m:type m:val="skw"/>
                  <m:ctrlPr>
                    <w:rPr>
                      <w:rFonts w:ascii="Cambria Math" w:hAnsi="Cambria Math" w:cs="Arial"/>
                      <w:i/>
                    </w:rPr>
                  </m:ctrlPr>
                </m:fPr>
                <m:num>
                  <m:r>
                    <w:rPr>
                      <w:rFonts w:ascii="Cambria Math" w:hAnsi="Cambria Math" w:cs="Arial"/>
                    </w:rPr>
                    <m:t>∂g</m:t>
                  </m:r>
                </m:num>
                <m:den>
                  <m:r>
                    <w:rPr>
                      <w:rFonts w:ascii="Cambria Math" w:hAnsi="Cambria Math" w:cs="Arial"/>
                    </w:rPr>
                    <m:t>∂GT</m:t>
                  </m:r>
                </m:den>
              </m:f>
            </m:den>
          </m:f>
          <m:r>
            <w:rPr>
              <w:rFonts w:ascii="Cambria Math" w:hAnsi="Cambria Math" w:cs="Arial"/>
            </w:rPr>
            <m:t>=</m:t>
          </m:r>
          <m:f>
            <m:fPr>
              <m:ctrlPr>
                <w:rPr>
                  <w:rFonts w:ascii="Cambria Math" w:hAnsi="Cambria Math" w:cs="Arial"/>
                  <w:i/>
                </w:rPr>
              </m:ctrlPr>
            </m:fPr>
            <m:num>
              <m:f>
                <m:fPr>
                  <m:type m:val="skw"/>
                  <m:ctrlPr>
                    <w:rPr>
                      <w:rFonts w:ascii="Cambria Math" w:hAnsi="Cambria Math" w:cs="Arial"/>
                      <w:i/>
                    </w:rPr>
                  </m:ctrlPr>
                </m:fPr>
                <m:num>
                  <m:r>
                    <w:rPr>
                      <w:rFonts w:ascii="Cambria Math" w:hAnsi="Cambria Math" w:cs="Arial"/>
                    </w:rPr>
                    <m:t>∂f</m:t>
                  </m:r>
                </m:num>
                <m:den>
                  <m:r>
                    <w:rPr>
                      <w:rFonts w:ascii="Cambria Math" w:hAnsi="Cambria Math" w:cs="Arial"/>
                    </w:rPr>
                    <m:t>∂D</m:t>
                  </m:r>
                </m:den>
              </m:f>
            </m:num>
            <m:den>
              <m:f>
                <m:fPr>
                  <m:type m:val="skw"/>
                  <m:ctrlPr>
                    <w:rPr>
                      <w:rFonts w:ascii="Cambria Math" w:hAnsi="Cambria Math" w:cs="Arial"/>
                      <w:i/>
                    </w:rPr>
                  </m:ctrlPr>
                </m:fPr>
                <m:num>
                  <m:r>
                    <w:rPr>
                      <w:rFonts w:ascii="Cambria Math" w:hAnsi="Cambria Math" w:cs="Arial"/>
                    </w:rPr>
                    <m:t>∂g</m:t>
                  </m:r>
                </m:num>
                <m:den>
                  <m:r>
                    <w:rPr>
                      <w:rFonts w:ascii="Cambria Math" w:hAnsi="Cambria Math" w:cs="Arial"/>
                    </w:rPr>
                    <m:t>∂D</m:t>
                  </m:r>
                </m:den>
              </m:f>
            </m:den>
          </m:f>
          <m:r>
            <w:rPr>
              <w:rFonts w:ascii="Cambria Math" w:hAnsi="Cambria Math" w:cs="Arial"/>
            </w:rPr>
            <m:t>=-</m:t>
          </m:r>
          <m:r>
            <m:rPr>
              <m:sty m:val="p"/>
            </m:rPr>
            <w:rPr>
              <w:rFonts w:ascii="Cambria Math" w:hAnsi="Cambria Math" w:cs="Arial"/>
              <w:sz w:val="18"/>
              <w:szCs w:val="18"/>
            </w:rPr>
            <w:sym w:font="Symbol" w:char="F06C"/>
          </m:r>
        </m:oMath>
      </m:oMathPara>
    </w:p>
    <w:p w:rsidR="00597F41" w:rsidRDefault="00597F41"/>
    <w:p w:rsidR="00597F41" w:rsidRPr="00667572" w:rsidRDefault="00597F41" w:rsidP="00667572">
      <w:pPr>
        <w:spacing w:line="360" w:lineRule="auto"/>
        <w:jc w:val="both"/>
        <w:rPr>
          <w:rFonts w:ascii="Arial" w:hAnsi="Arial" w:cs="Arial"/>
          <w:sz w:val="18"/>
          <w:szCs w:val="18"/>
        </w:rPr>
      </w:pPr>
      <w:r w:rsidRPr="00667572">
        <w:rPr>
          <w:rFonts w:ascii="Arial" w:hAnsi="Arial" w:cs="Arial"/>
          <w:sz w:val="18"/>
          <w:szCs w:val="18"/>
        </w:rPr>
        <w:t>Os numeradores da relação acima representam o preço dos fatores enquanto os denominadores os produtos marginais relacionados aos insumos investimento, geração témica e déficit. Portanto, a combinação ótima</w:t>
      </w:r>
      <w:r w:rsidRPr="00667572">
        <w:rPr>
          <w:rStyle w:val="Refdenotaderodap"/>
          <w:rFonts w:ascii="Arial" w:hAnsi="Arial" w:cs="Arial"/>
          <w:sz w:val="18"/>
          <w:szCs w:val="18"/>
        </w:rPr>
        <w:footnoteReference w:id="7"/>
      </w:r>
      <w:r w:rsidRPr="00667572">
        <w:rPr>
          <w:rFonts w:ascii="Arial" w:hAnsi="Arial" w:cs="Arial"/>
          <w:sz w:val="18"/>
          <w:szCs w:val="18"/>
        </w:rPr>
        <w:t xml:space="preserve"> é obtida no ponto onde a relação entre o preço e o produto marginal é igual para todos os fatores. A solução ótima será:</w:t>
      </w:r>
    </w:p>
    <w:p w:rsidR="00597F41" w:rsidRPr="00667572" w:rsidRDefault="00597F41" w:rsidP="00396E14">
      <w:pPr>
        <w:spacing w:line="360" w:lineRule="auto"/>
        <w:jc w:val="both"/>
        <w:outlineLvl w:val="0"/>
        <w:rPr>
          <w:rFonts w:ascii="Arial" w:hAnsi="Arial" w:cs="Arial"/>
          <w:sz w:val="18"/>
          <w:szCs w:val="18"/>
        </w:rPr>
      </w:pPr>
      <w:r w:rsidRPr="00667572">
        <w:rPr>
          <w:rFonts w:ascii="Arial" w:hAnsi="Arial" w:cs="Arial"/>
          <w:sz w:val="18"/>
          <w:szCs w:val="18"/>
        </w:rPr>
        <w:t>I</w:t>
      </w:r>
      <w:r w:rsidRPr="00667572">
        <w:rPr>
          <w:rFonts w:ascii="Arial" w:hAnsi="Arial" w:cs="Arial"/>
          <w:sz w:val="18"/>
          <w:szCs w:val="18"/>
          <w:vertAlign w:val="superscript"/>
        </w:rPr>
        <w:t>*</w:t>
      </w:r>
      <w:r w:rsidRPr="00667572">
        <w:rPr>
          <w:rFonts w:ascii="Arial" w:hAnsi="Arial" w:cs="Arial"/>
          <w:sz w:val="18"/>
          <w:szCs w:val="18"/>
        </w:rPr>
        <w:t xml:space="preserve"> = I(M)</w:t>
      </w:r>
    </w:p>
    <w:p w:rsidR="00597F41" w:rsidRPr="00667572" w:rsidRDefault="00597F41" w:rsidP="00396E14">
      <w:pPr>
        <w:spacing w:line="360" w:lineRule="auto"/>
        <w:jc w:val="both"/>
        <w:outlineLvl w:val="0"/>
        <w:rPr>
          <w:rFonts w:ascii="Arial" w:hAnsi="Arial" w:cs="Arial"/>
          <w:sz w:val="18"/>
          <w:szCs w:val="18"/>
        </w:rPr>
      </w:pPr>
      <w:r w:rsidRPr="00667572">
        <w:rPr>
          <w:rFonts w:ascii="Arial" w:hAnsi="Arial" w:cs="Arial"/>
          <w:sz w:val="18"/>
          <w:szCs w:val="18"/>
        </w:rPr>
        <w:t>O&amp;M</w:t>
      </w:r>
      <w:r w:rsidRPr="00667572">
        <w:rPr>
          <w:rFonts w:ascii="Arial" w:hAnsi="Arial" w:cs="Arial"/>
          <w:sz w:val="18"/>
          <w:szCs w:val="18"/>
          <w:vertAlign w:val="superscript"/>
        </w:rPr>
        <w:t>*</w:t>
      </w:r>
      <w:r w:rsidRPr="00667572">
        <w:rPr>
          <w:rFonts w:ascii="Arial" w:hAnsi="Arial" w:cs="Arial"/>
          <w:sz w:val="18"/>
          <w:szCs w:val="18"/>
        </w:rPr>
        <w:t xml:space="preserve"> = O&amp;M(M)</w:t>
      </w:r>
    </w:p>
    <w:p w:rsidR="00597F41" w:rsidRPr="00667572" w:rsidRDefault="00597F41" w:rsidP="00396E14">
      <w:pPr>
        <w:spacing w:line="360" w:lineRule="auto"/>
        <w:jc w:val="both"/>
        <w:outlineLvl w:val="0"/>
        <w:rPr>
          <w:rFonts w:ascii="Arial" w:hAnsi="Arial" w:cs="Arial"/>
          <w:sz w:val="18"/>
          <w:szCs w:val="18"/>
        </w:rPr>
      </w:pPr>
      <w:r w:rsidRPr="00667572">
        <w:rPr>
          <w:rFonts w:ascii="Arial" w:hAnsi="Arial" w:cs="Arial"/>
          <w:sz w:val="18"/>
          <w:szCs w:val="18"/>
        </w:rPr>
        <w:t>GT</w:t>
      </w:r>
      <w:r w:rsidRPr="00667572">
        <w:rPr>
          <w:rFonts w:ascii="Arial" w:hAnsi="Arial" w:cs="Arial"/>
          <w:sz w:val="18"/>
          <w:szCs w:val="18"/>
          <w:vertAlign w:val="superscript"/>
        </w:rPr>
        <w:t>*</w:t>
      </w:r>
      <w:r w:rsidRPr="00667572">
        <w:rPr>
          <w:rFonts w:ascii="Arial" w:hAnsi="Arial" w:cs="Arial"/>
          <w:sz w:val="18"/>
          <w:szCs w:val="18"/>
        </w:rPr>
        <w:t xml:space="preserve"> = GT(M)</w:t>
      </w:r>
    </w:p>
    <w:p w:rsidR="00597F41" w:rsidRPr="00667572" w:rsidRDefault="00597F41" w:rsidP="00396E14">
      <w:pPr>
        <w:spacing w:line="360" w:lineRule="auto"/>
        <w:jc w:val="both"/>
        <w:outlineLvl w:val="0"/>
        <w:rPr>
          <w:rFonts w:ascii="Arial" w:hAnsi="Arial" w:cs="Arial"/>
          <w:sz w:val="18"/>
          <w:szCs w:val="18"/>
        </w:rPr>
      </w:pPr>
      <w:r w:rsidRPr="00667572">
        <w:rPr>
          <w:rFonts w:ascii="Arial" w:hAnsi="Arial" w:cs="Arial"/>
          <w:sz w:val="18"/>
          <w:szCs w:val="18"/>
        </w:rPr>
        <w:t>D</w:t>
      </w:r>
      <w:r w:rsidRPr="00667572">
        <w:rPr>
          <w:rFonts w:ascii="Arial" w:hAnsi="Arial" w:cs="Arial"/>
          <w:sz w:val="18"/>
          <w:szCs w:val="18"/>
          <w:vertAlign w:val="superscript"/>
        </w:rPr>
        <w:t>*</w:t>
      </w:r>
      <w:r w:rsidRPr="00667572">
        <w:rPr>
          <w:rFonts w:ascii="Arial" w:hAnsi="Arial" w:cs="Arial"/>
          <w:sz w:val="18"/>
          <w:szCs w:val="18"/>
        </w:rPr>
        <w:t>=D(M)</w:t>
      </w:r>
    </w:p>
    <w:p w:rsidR="00597F41" w:rsidRPr="00667572" w:rsidRDefault="00597F41" w:rsidP="00396E14">
      <w:pPr>
        <w:spacing w:line="360" w:lineRule="auto"/>
        <w:jc w:val="both"/>
        <w:rPr>
          <w:rFonts w:ascii="Arial" w:hAnsi="Arial" w:cs="Arial"/>
          <w:sz w:val="18"/>
          <w:szCs w:val="18"/>
        </w:rPr>
      </w:pPr>
      <w:r w:rsidRPr="00667572">
        <w:rPr>
          <w:rFonts w:ascii="Arial" w:hAnsi="Arial" w:cs="Arial"/>
          <w:sz w:val="18"/>
          <w:szCs w:val="18"/>
        </w:rPr>
        <w:t>Logo, o mínimo custo total de produção é definido por:</w:t>
      </w:r>
    </w:p>
    <w:p w:rsidR="00597F41" w:rsidRPr="00667572" w:rsidRDefault="00597F41" w:rsidP="00396E14">
      <w:pPr>
        <w:spacing w:line="360" w:lineRule="auto"/>
        <w:jc w:val="both"/>
        <w:rPr>
          <w:rFonts w:ascii="Arial" w:hAnsi="Arial" w:cs="Arial"/>
          <w:sz w:val="18"/>
          <w:szCs w:val="18"/>
        </w:rPr>
      </w:pPr>
      <w:r w:rsidRPr="00667572">
        <w:rPr>
          <w:rFonts w:ascii="Arial" w:hAnsi="Arial" w:cs="Arial"/>
          <w:sz w:val="18"/>
          <w:szCs w:val="18"/>
        </w:rPr>
        <w:t>CT</w:t>
      </w:r>
      <w:r w:rsidRPr="00667572">
        <w:rPr>
          <w:rFonts w:ascii="Arial" w:hAnsi="Arial" w:cs="Arial"/>
          <w:sz w:val="18"/>
          <w:szCs w:val="18"/>
          <w:vertAlign w:val="superscript"/>
        </w:rPr>
        <w:t>*</w:t>
      </w:r>
      <w:r w:rsidRPr="00667572">
        <w:rPr>
          <w:rFonts w:ascii="Arial" w:hAnsi="Arial" w:cs="Arial"/>
          <w:sz w:val="18"/>
          <w:szCs w:val="18"/>
        </w:rPr>
        <w:t xml:space="preserve"> = f(I</w:t>
      </w:r>
      <w:r w:rsidRPr="00667572">
        <w:rPr>
          <w:rFonts w:ascii="Arial" w:hAnsi="Arial" w:cs="Arial"/>
          <w:sz w:val="18"/>
          <w:szCs w:val="18"/>
          <w:vertAlign w:val="superscript"/>
        </w:rPr>
        <w:t>*</w:t>
      </w:r>
      <w:r w:rsidRPr="00667572">
        <w:rPr>
          <w:rFonts w:ascii="Arial" w:hAnsi="Arial" w:cs="Arial"/>
          <w:sz w:val="18"/>
          <w:szCs w:val="18"/>
        </w:rPr>
        <w:t>,O&amp;M</w:t>
      </w:r>
      <w:r w:rsidRPr="00667572">
        <w:rPr>
          <w:rFonts w:ascii="Arial" w:hAnsi="Arial" w:cs="Arial"/>
          <w:sz w:val="18"/>
          <w:szCs w:val="18"/>
          <w:vertAlign w:val="superscript"/>
        </w:rPr>
        <w:t>*</w:t>
      </w:r>
      <w:r w:rsidRPr="00667572">
        <w:rPr>
          <w:rFonts w:ascii="Arial" w:hAnsi="Arial" w:cs="Arial"/>
          <w:sz w:val="18"/>
          <w:szCs w:val="18"/>
        </w:rPr>
        <w:t>, GT</w:t>
      </w:r>
      <w:r w:rsidRPr="00667572">
        <w:rPr>
          <w:rFonts w:ascii="Arial" w:hAnsi="Arial" w:cs="Arial"/>
          <w:sz w:val="18"/>
          <w:szCs w:val="18"/>
          <w:vertAlign w:val="superscript"/>
        </w:rPr>
        <w:t>*</w:t>
      </w:r>
      <w:r w:rsidRPr="00667572">
        <w:rPr>
          <w:rFonts w:ascii="Arial" w:hAnsi="Arial" w:cs="Arial"/>
          <w:sz w:val="18"/>
          <w:szCs w:val="18"/>
        </w:rPr>
        <w:t>,D</w:t>
      </w:r>
      <w:r w:rsidRPr="00667572">
        <w:rPr>
          <w:rFonts w:ascii="Arial" w:hAnsi="Arial" w:cs="Arial"/>
          <w:sz w:val="18"/>
          <w:szCs w:val="18"/>
          <w:vertAlign w:val="superscript"/>
        </w:rPr>
        <w:t>*</w:t>
      </w:r>
      <w:r w:rsidRPr="00667572">
        <w:rPr>
          <w:rFonts w:ascii="Arial" w:hAnsi="Arial" w:cs="Arial"/>
          <w:sz w:val="18"/>
          <w:szCs w:val="18"/>
        </w:rPr>
        <w:t>).</w:t>
      </w:r>
    </w:p>
    <w:p w:rsidR="00597F41" w:rsidRPr="00667572" w:rsidRDefault="00597F41" w:rsidP="00396E14">
      <w:pPr>
        <w:spacing w:line="360" w:lineRule="auto"/>
        <w:jc w:val="both"/>
        <w:rPr>
          <w:rFonts w:ascii="Arial" w:hAnsi="Arial" w:cs="Arial"/>
          <w:sz w:val="18"/>
          <w:szCs w:val="18"/>
        </w:rPr>
      </w:pPr>
      <w:r w:rsidRPr="00667572">
        <w:rPr>
          <w:rFonts w:ascii="Arial" w:hAnsi="Arial" w:cs="Arial"/>
          <w:sz w:val="18"/>
          <w:szCs w:val="18"/>
        </w:rPr>
        <w:t>O Custo Marginal de Geração no Curto Prazo</w:t>
      </w:r>
      <w:r w:rsidRPr="00667572">
        <w:rPr>
          <w:rStyle w:val="Refdenotaderodap"/>
          <w:rFonts w:ascii="Arial" w:hAnsi="Arial" w:cs="Arial"/>
          <w:sz w:val="18"/>
          <w:szCs w:val="18"/>
        </w:rPr>
        <w:footnoteReference w:id="8"/>
      </w:r>
      <w:r w:rsidRPr="00667572">
        <w:rPr>
          <w:rFonts w:ascii="Arial" w:hAnsi="Arial" w:cs="Arial"/>
          <w:sz w:val="18"/>
          <w:szCs w:val="18"/>
        </w:rPr>
        <w:t xml:space="preserve"> é dado por</w:t>
      </w:r>
      <w:r w:rsidRPr="00667572">
        <w:rPr>
          <w:rStyle w:val="Refdenotaderodap"/>
          <w:rFonts w:ascii="Arial" w:hAnsi="Arial" w:cs="Arial"/>
          <w:sz w:val="18"/>
          <w:szCs w:val="18"/>
        </w:rPr>
        <w:footnoteReference w:id="9"/>
      </w:r>
      <w:r w:rsidRPr="00667572">
        <w:rPr>
          <w:rFonts w:ascii="Arial" w:hAnsi="Arial" w:cs="Arial"/>
          <w:sz w:val="18"/>
          <w:szCs w:val="18"/>
        </w:rPr>
        <w:t>:</w:t>
      </w:r>
    </w:p>
    <w:p w:rsidR="00597F41" w:rsidRDefault="00597F41" w:rsidP="00597F41">
      <w:r>
        <w:rPr>
          <w:noProof/>
        </w:rPr>
        <w:drawing>
          <wp:anchor distT="0" distB="0" distL="114300" distR="114300" simplePos="0" relativeHeight="251673600" behindDoc="0" locked="0" layoutInCell="0" allowOverlap="1">
            <wp:simplePos x="0" y="0"/>
            <wp:positionH relativeFrom="column">
              <wp:posOffset>0</wp:posOffset>
            </wp:positionH>
            <wp:positionV relativeFrom="paragraph">
              <wp:posOffset>0</wp:posOffset>
            </wp:positionV>
            <wp:extent cx="2553335" cy="418465"/>
            <wp:effectExtent l="0" t="0" r="0" b="635"/>
            <wp:wrapTopAndBottom/>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553335" cy="4184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7F41" w:rsidRPr="003E1B02" w:rsidRDefault="00597F41" w:rsidP="00836367">
      <w:pPr>
        <w:spacing w:line="360" w:lineRule="auto"/>
        <w:jc w:val="both"/>
        <w:rPr>
          <w:rFonts w:ascii="Arial" w:hAnsi="Arial" w:cs="Arial"/>
          <w:sz w:val="18"/>
          <w:szCs w:val="18"/>
        </w:rPr>
      </w:pPr>
      <w:r w:rsidRPr="003E1B02">
        <w:rPr>
          <w:rFonts w:ascii="Arial" w:hAnsi="Arial" w:cs="Arial"/>
          <w:sz w:val="18"/>
          <w:szCs w:val="18"/>
        </w:rPr>
        <w:lastRenderedPageBreak/>
        <w:t>Observa-se que o Custo Marginal de Curto Prazo atenderá um incremento infinitesimal no consumo, com aumentos marginais nos custos de operação e de não atendimento (custo de déficit de energia). Nesse caso, o atendimento a uma unidade adicional de demanda é feita pelo sistema elétrico existente (</w:t>
      </w:r>
      <w:r w:rsidR="00836367">
        <w:rPr>
          <w:rFonts w:ascii="Arial" w:hAnsi="Arial" w:cs="Arial"/>
          <w:sz w:val="18"/>
          <w:szCs w:val="18"/>
        </w:rPr>
        <w:t>28).</w:t>
      </w:r>
    </w:p>
    <w:p w:rsidR="00597F41" w:rsidRPr="003E1B02" w:rsidRDefault="00597F41" w:rsidP="00836367">
      <w:pPr>
        <w:spacing w:line="360" w:lineRule="auto"/>
        <w:jc w:val="both"/>
        <w:rPr>
          <w:rFonts w:ascii="Arial" w:hAnsi="Arial" w:cs="Arial"/>
          <w:sz w:val="18"/>
          <w:szCs w:val="18"/>
        </w:rPr>
      </w:pPr>
    </w:p>
    <w:p w:rsidR="00597F41" w:rsidRDefault="00597F41" w:rsidP="00836367">
      <w:pPr>
        <w:spacing w:line="360" w:lineRule="auto"/>
        <w:jc w:val="both"/>
        <w:rPr>
          <w:rFonts w:ascii="Arial" w:hAnsi="Arial" w:cs="Arial"/>
        </w:rPr>
      </w:pPr>
      <w:r w:rsidRPr="003E1B02">
        <w:rPr>
          <w:rFonts w:ascii="Arial" w:hAnsi="Arial" w:cs="Arial"/>
          <w:sz w:val="18"/>
          <w:szCs w:val="18"/>
        </w:rPr>
        <w:t>Já ao Custo Marginal de Longo Prazo deve-se acrescentar os custo de investimentos necessários ao atendimento de uma carga adicional, sendo assim:</w:t>
      </w:r>
    </w:p>
    <w:p w:rsidR="00667572" w:rsidRPr="00667572" w:rsidRDefault="00667572" w:rsidP="00667572">
      <w:pPr>
        <w:jc w:val="both"/>
        <w:rPr>
          <w:rFonts w:ascii="Arial" w:hAnsi="Arial" w:cs="Arial"/>
        </w:rPr>
      </w:pPr>
    </w:p>
    <w:p w:rsidR="00597F41" w:rsidRPr="00667572" w:rsidRDefault="00597F41" w:rsidP="00667572">
      <w:pPr>
        <w:jc w:val="both"/>
        <w:rPr>
          <w:rFonts w:ascii="Arial" w:hAnsi="Arial" w:cs="Arial"/>
        </w:rPr>
      </w:pPr>
      <w:r w:rsidRPr="00667572">
        <w:rPr>
          <w:rFonts w:ascii="Arial" w:hAnsi="Arial" w:cs="Arial"/>
          <w:noProof/>
        </w:rPr>
        <w:drawing>
          <wp:anchor distT="0" distB="0" distL="114300" distR="114300" simplePos="0" relativeHeight="251674624" behindDoc="0" locked="0" layoutInCell="0" allowOverlap="1">
            <wp:simplePos x="0" y="0"/>
            <wp:positionH relativeFrom="column">
              <wp:posOffset>0</wp:posOffset>
            </wp:positionH>
            <wp:positionV relativeFrom="paragraph">
              <wp:posOffset>0</wp:posOffset>
            </wp:positionV>
            <wp:extent cx="4488180" cy="390525"/>
            <wp:effectExtent l="0" t="0" r="0" b="9525"/>
            <wp:wrapTopAndBottom/>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488180" cy="390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7F41" w:rsidRPr="003E1B02" w:rsidRDefault="00597F41" w:rsidP="00836367">
      <w:pPr>
        <w:spacing w:line="360" w:lineRule="auto"/>
        <w:jc w:val="both"/>
        <w:rPr>
          <w:rFonts w:ascii="Arial" w:hAnsi="Arial" w:cs="Arial"/>
          <w:sz w:val="18"/>
          <w:szCs w:val="18"/>
        </w:rPr>
      </w:pPr>
      <w:r w:rsidRPr="003E1B02">
        <w:rPr>
          <w:rFonts w:ascii="Arial" w:hAnsi="Arial" w:cs="Arial"/>
          <w:sz w:val="18"/>
          <w:szCs w:val="18"/>
        </w:rPr>
        <w:t>Devido a existência de indivisibilidades não é possível calcular o Custo Marginal de Expansão (CMEX) da forma como foi apresentada. Portanto, sua estimativa será feita a partir de uma aproximação por variações incrementais, isto é, o Custo Marginal de Expansão será aproximado por um Custo Incremental Médio (</w:t>
      </w:r>
      <w:r w:rsidR="00836367">
        <w:rPr>
          <w:rFonts w:ascii="Arial" w:hAnsi="Arial" w:cs="Arial"/>
          <w:sz w:val="18"/>
          <w:szCs w:val="18"/>
        </w:rPr>
        <w:t>27</w:t>
      </w:r>
      <w:r w:rsidRPr="003E1B02">
        <w:rPr>
          <w:rFonts w:ascii="Arial" w:hAnsi="Arial" w:cs="Arial"/>
          <w:sz w:val="18"/>
          <w:szCs w:val="18"/>
        </w:rPr>
        <w:t>) de acordo com a seguinte expressão:</w:t>
      </w:r>
    </w:p>
    <w:p w:rsidR="003E1B02" w:rsidRPr="00667572" w:rsidRDefault="003E1B02" w:rsidP="00667572">
      <w:pPr>
        <w:jc w:val="both"/>
        <w:rPr>
          <w:rFonts w:ascii="Arial" w:hAnsi="Arial" w:cs="Arial"/>
        </w:rPr>
      </w:pPr>
    </w:p>
    <w:p w:rsidR="00597F41" w:rsidRDefault="00597F41" w:rsidP="00597F41">
      <w:r>
        <w:rPr>
          <w:noProof/>
        </w:rPr>
        <w:drawing>
          <wp:anchor distT="0" distB="0" distL="114300" distR="114300" simplePos="0" relativeHeight="251675648" behindDoc="0" locked="0" layoutInCell="0" allowOverlap="1">
            <wp:simplePos x="0" y="0"/>
            <wp:positionH relativeFrom="column">
              <wp:posOffset>0</wp:posOffset>
            </wp:positionH>
            <wp:positionV relativeFrom="paragraph">
              <wp:posOffset>0</wp:posOffset>
            </wp:positionV>
            <wp:extent cx="4277360" cy="428625"/>
            <wp:effectExtent l="0" t="0" r="8890" b="9525"/>
            <wp:wrapTopAndBottom/>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277360" cy="428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7F41" w:rsidRPr="003E1B02" w:rsidRDefault="00597F41" w:rsidP="003E1B02">
      <w:pPr>
        <w:spacing w:line="360" w:lineRule="auto"/>
        <w:rPr>
          <w:rFonts w:ascii="Arial" w:hAnsi="Arial" w:cs="Arial"/>
          <w:sz w:val="18"/>
          <w:szCs w:val="18"/>
        </w:rPr>
      </w:pPr>
      <w:r w:rsidRPr="003E1B02">
        <w:rPr>
          <w:rFonts w:ascii="Arial" w:hAnsi="Arial" w:cs="Arial"/>
          <w:sz w:val="18"/>
          <w:szCs w:val="18"/>
        </w:rPr>
        <w:t>onde:</w:t>
      </w:r>
    </w:p>
    <w:p w:rsidR="00597F41" w:rsidRPr="003E1B02" w:rsidRDefault="00597F41" w:rsidP="00836367">
      <w:pPr>
        <w:spacing w:line="360" w:lineRule="auto"/>
        <w:rPr>
          <w:rFonts w:ascii="Arial" w:hAnsi="Arial" w:cs="Arial"/>
          <w:sz w:val="18"/>
          <w:szCs w:val="18"/>
        </w:rPr>
      </w:pPr>
      <w:r w:rsidRPr="003E1B02">
        <w:rPr>
          <w:rFonts w:ascii="Arial" w:hAnsi="Arial" w:cs="Arial"/>
          <w:sz w:val="18"/>
          <w:szCs w:val="18"/>
        </w:rPr>
        <w:t>VP – operador valor presente;</w:t>
      </w:r>
    </w:p>
    <w:p w:rsidR="00597F41" w:rsidRPr="003E1B02" w:rsidRDefault="00597F41" w:rsidP="00836367">
      <w:pPr>
        <w:spacing w:line="360" w:lineRule="auto"/>
        <w:rPr>
          <w:rFonts w:ascii="Arial" w:hAnsi="Arial" w:cs="Arial"/>
          <w:sz w:val="18"/>
          <w:szCs w:val="18"/>
        </w:rPr>
      </w:pPr>
      <w:r w:rsidRPr="003E1B02">
        <w:rPr>
          <w:rFonts w:ascii="Arial" w:hAnsi="Arial" w:cs="Arial"/>
          <w:sz w:val="18"/>
          <w:szCs w:val="18"/>
        </w:rPr>
        <w:sym w:font="Symbol" w:char="F044"/>
      </w:r>
      <w:r w:rsidRPr="003E1B02">
        <w:rPr>
          <w:rFonts w:ascii="Arial" w:hAnsi="Arial" w:cs="Arial"/>
          <w:sz w:val="18"/>
          <w:szCs w:val="18"/>
        </w:rPr>
        <w:t xml:space="preserve">INV, </w:t>
      </w:r>
      <w:r w:rsidRPr="003E1B02">
        <w:rPr>
          <w:rFonts w:ascii="Arial" w:hAnsi="Arial" w:cs="Arial"/>
          <w:sz w:val="18"/>
          <w:szCs w:val="18"/>
        </w:rPr>
        <w:sym w:font="Symbol" w:char="F044"/>
      </w:r>
      <w:r w:rsidRPr="003E1B02">
        <w:rPr>
          <w:rFonts w:ascii="Arial" w:hAnsi="Arial" w:cs="Arial"/>
          <w:sz w:val="18"/>
          <w:szCs w:val="18"/>
        </w:rPr>
        <w:t xml:space="preserve">CO&amp;M, </w:t>
      </w:r>
      <w:r w:rsidRPr="003E1B02">
        <w:rPr>
          <w:rFonts w:ascii="Arial" w:hAnsi="Arial" w:cs="Arial"/>
          <w:sz w:val="18"/>
          <w:szCs w:val="18"/>
        </w:rPr>
        <w:sym w:font="Symbol" w:char="F044"/>
      </w:r>
      <w:r w:rsidRPr="003E1B02">
        <w:rPr>
          <w:rFonts w:ascii="Arial" w:hAnsi="Arial" w:cs="Arial"/>
          <w:sz w:val="18"/>
          <w:szCs w:val="18"/>
        </w:rPr>
        <w:t xml:space="preserve">CGT e </w:t>
      </w:r>
      <w:r w:rsidRPr="003E1B02">
        <w:rPr>
          <w:rFonts w:ascii="Arial" w:hAnsi="Arial" w:cs="Arial"/>
          <w:sz w:val="18"/>
          <w:szCs w:val="18"/>
        </w:rPr>
        <w:sym w:font="Symbol" w:char="F044"/>
      </w:r>
      <w:r w:rsidRPr="003E1B02">
        <w:rPr>
          <w:rFonts w:ascii="Arial" w:hAnsi="Arial" w:cs="Arial"/>
          <w:sz w:val="18"/>
          <w:szCs w:val="18"/>
        </w:rPr>
        <w:t>CD – acréscimos dos custos anuais de investimento, operação e manutenção, custos esperados de geração térmica e dos custos esperados de déficits, em $</w:t>
      </w:r>
      <w:r w:rsidRPr="003E1B02">
        <w:rPr>
          <w:rStyle w:val="Refdenotaderodap"/>
          <w:rFonts w:ascii="Arial" w:hAnsi="Arial" w:cs="Arial"/>
          <w:sz w:val="18"/>
          <w:szCs w:val="18"/>
        </w:rPr>
        <w:footnoteReference w:id="10"/>
      </w:r>
      <w:r w:rsidRPr="003E1B02">
        <w:rPr>
          <w:rFonts w:ascii="Arial" w:hAnsi="Arial" w:cs="Arial"/>
          <w:sz w:val="18"/>
          <w:szCs w:val="18"/>
        </w:rPr>
        <w:t>;</w:t>
      </w:r>
    </w:p>
    <w:p w:rsidR="00597F41" w:rsidRPr="003E1B02" w:rsidRDefault="00597F41" w:rsidP="00836367">
      <w:pPr>
        <w:spacing w:line="360" w:lineRule="auto"/>
        <w:rPr>
          <w:rFonts w:ascii="Arial" w:hAnsi="Arial" w:cs="Arial"/>
          <w:sz w:val="18"/>
          <w:szCs w:val="18"/>
        </w:rPr>
      </w:pPr>
      <w:r w:rsidRPr="003E1B02">
        <w:rPr>
          <w:rFonts w:ascii="Arial" w:hAnsi="Arial" w:cs="Arial"/>
          <w:sz w:val="18"/>
          <w:szCs w:val="18"/>
        </w:rPr>
        <w:sym w:font="Symbol" w:char="F044"/>
      </w:r>
      <w:r w:rsidRPr="003E1B02">
        <w:rPr>
          <w:rFonts w:ascii="Arial" w:hAnsi="Arial" w:cs="Arial"/>
          <w:sz w:val="18"/>
          <w:szCs w:val="18"/>
        </w:rPr>
        <w:t>OFER – acréscimo da oferta garantida do sistema associada à um risco de déficit de energia de 5%.</w:t>
      </w:r>
    </w:p>
    <w:p w:rsidR="00597F41" w:rsidRDefault="00597F41" w:rsidP="00836367">
      <w:pPr>
        <w:spacing w:line="360" w:lineRule="auto"/>
      </w:pPr>
      <w:r w:rsidRPr="003E1B02">
        <w:rPr>
          <w:rFonts w:ascii="Arial" w:hAnsi="Arial" w:cs="Arial"/>
          <w:sz w:val="18"/>
          <w:szCs w:val="18"/>
        </w:rPr>
        <w:t>As parcelas são calculadas da seguinte maneira:</w:t>
      </w:r>
    </w:p>
    <w:p w:rsidR="00597F41" w:rsidRDefault="00597F41" w:rsidP="00597F41">
      <w:r>
        <w:rPr>
          <w:noProof/>
        </w:rPr>
        <w:drawing>
          <wp:anchor distT="0" distB="0" distL="114300" distR="114300" simplePos="0" relativeHeight="251676672" behindDoc="0" locked="0" layoutInCell="0" allowOverlap="1">
            <wp:simplePos x="0" y="0"/>
            <wp:positionH relativeFrom="column">
              <wp:posOffset>0</wp:posOffset>
            </wp:positionH>
            <wp:positionV relativeFrom="paragraph">
              <wp:posOffset>0</wp:posOffset>
            </wp:positionV>
            <wp:extent cx="2438400" cy="457200"/>
            <wp:effectExtent l="0" t="0" r="0" b="0"/>
            <wp:wrapTopAndBottom/>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4384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7F41" w:rsidRDefault="00597F41" w:rsidP="00836367">
      <w:pPr>
        <w:spacing w:line="360" w:lineRule="auto"/>
      </w:pPr>
      <w:r>
        <w:t>onde:</w:t>
      </w:r>
    </w:p>
    <w:p w:rsidR="00597F41" w:rsidRDefault="00597F41" w:rsidP="00836367">
      <w:pPr>
        <w:spacing w:line="360" w:lineRule="auto"/>
      </w:pPr>
      <w:r>
        <w:t>Des</w:t>
      </w:r>
      <w:r>
        <w:rPr>
          <w:vertAlign w:val="subscript"/>
        </w:rPr>
        <w:t>jk</w:t>
      </w:r>
      <w:r>
        <w:t xml:space="preserve"> - desembolso da usina j no ano k, em $;</w:t>
      </w:r>
    </w:p>
    <w:p w:rsidR="00597F41" w:rsidRDefault="00597F41" w:rsidP="00836367">
      <w:pPr>
        <w:spacing w:line="360" w:lineRule="auto"/>
      </w:pPr>
      <w:r>
        <w:t>i – taxa de desconto anual, em per-unit;</w:t>
      </w:r>
    </w:p>
    <w:p w:rsidR="00597F41" w:rsidRDefault="00597F41" w:rsidP="00836367">
      <w:pPr>
        <w:spacing w:line="360" w:lineRule="auto"/>
      </w:pPr>
      <w:r>
        <w:t>r – ano de referência;</w:t>
      </w:r>
    </w:p>
    <w:p w:rsidR="00597F41" w:rsidRDefault="00597F41" w:rsidP="00836367">
      <w:pPr>
        <w:spacing w:line="360" w:lineRule="auto"/>
      </w:pPr>
      <w:r>
        <w:t>FRC</w:t>
      </w:r>
      <w:r>
        <w:rPr>
          <w:vertAlign w:val="subscript"/>
        </w:rPr>
        <w:t>j</w:t>
      </w:r>
      <w:r>
        <w:t>(i,n) – fator de recuperação de capital da usina j para uma taxa de desconto i e vida útil n;</w:t>
      </w:r>
    </w:p>
    <w:p w:rsidR="00597F41" w:rsidRDefault="00597F41" w:rsidP="00597F41">
      <w:r>
        <w:rPr>
          <w:noProof/>
        </w:rPr>
        <w:lastRenderedPageBreak/>
        <w:drawing>
          <wp:anchor distT="0" distB="0" distL="114300" distR="114300" simplePos="0" relativeHeight="251677696" behindDoc="0" locked="0" layoutInCell="0" allowOverlap="1">
            <wp:simplePos x="0" y="0"/>
            <wp:positionH relativeFrom="column">
              <wp:posOffset>0</wp:posOffset>
            </wp:positionH>
            <wp:positionV relativeFrom="paragraph">
              <wp:posOffset>0</wp:posOffset>
            </wp:positionV>
            <wp:extent cx="1981200" cy="441960"/>
            <wp:effectExtent l="0" t="0" r="0" b="0"/>
            <wp:wrapTopAndBottom/>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81200" cy="441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7F41" w:rsidRDefault="00597F41" w:rsidP="00597F41">
      <w:r>
        <w:rPr>
          <w:noProof/>
        </w:rPr>
        <w:drawing>
          <wp:anchor distT="0" distB="0" distL="114300" distR="114300" simplePos="0" relativeHeight="251678720" behindDoc="0" locked="0" layoutInCell="0" allowOverlap="1">
            <wp:simplePos x="0" y="0"/>
            <wp:positionH relativeFrom="column">
              <wp:posOffset>0</wp:posOffset>
            </wp:positionH>
            <wp:positionV relativeFrom="paragraph">
              <wp:posOffset>0</wp:posOffset>
            </wp:positionV>
            <wp:extent cx="1618615" cy="455295"/>
            <wp:effectExtent l="0" t="0" r="0" b="1905"/>
            <wp:wrapTopAndBottom/>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18615" cy="4552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7F41" w:rsidRDefault="00597F41" w:rsidP="00597F41">
      <w:r>
        <w:rPr>
          <w:noProof/>
        </w:rPr>
        <w:drawing>
          <wp:anchor distT="0" distB="0" distL="114300" distR="114300" simplePos="0" relativeHeight="251679744" behindDoc="0" locked="0" layoutInCell="0" allowOverlap="1">
            <wp:simplePos x="0" y="0"/>
            <wp:positionH relativeFrom="column">
              <wp:posOffset>0</wp:posOffset>
            </wp:positionH>
            <wp:positionV relativeFrom="paragraph">
              <wp:posOffset>0</wp:posOffset>
            </wp:positionV>
            <wp:extent cx="1618615" cy="455295"/>
            <wp:effectExtent l="0" t="0" r="0" b="1905"/>
            <wp:wrapTopAndBottom/>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18615" cy="4552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7F41" w:rsidRDefault="00597F41" w:rsidP="00597F41">
      <w:r>
        <w:rPr>
          <w:noProof/>
        </w:rPr>
        <w:drawing>
          <wp:anchor distT="0" distB="0" distL="114300" distR="114300" simplePos="0" relativeHeight="251680768" behindDoc="0" locked="0" layoutInCell="0" allowOverlap="1">
            <wp:simplePos x="0" y="0"/>
            <wp:positionH relativeFrom="column">
              <wp:posOffset>0</wp:posOffset>
            </wp:positionH>
            <wp:positionV relativeFrom="paragraph">
              <wp:posOffset>0</wp:posOffset>
            </wp:positionV>
            <wp:extent cx="2103120" cy="455930"/>
            <wp:effectExtent l="0" t="0" r="0" b="1270"/>
            <wp:wrapTopAndBottom/>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103120" cy="4559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7F41" w:rsidRPr="00A16193" w:rsidRDefault="00597F41" w:rsidP="00836367">
      <w:pPr>
        <w:pStyle w:val="Recuodecorpodetexto"/>
        <w:spacing w:line="360" w:lineRule="auto"/>
        <w:ind w:left="0"/>
        <w:jc w:val="both"/>
        <w:rPr>
          <w:rFonts w:ascii="Arial" w:hAnsi="Arial" w:cs="Arial"/>
          <w:sz w:val="18"/>
          <w:szCs w:val="18"/>
        </w:rPr>
      </w:pPr>
      <w:r w:rsidRPr="00A16193">
        <w:rPr>
          <w:rFonts w:ascii="Arial" w:hAnsi="Arial" w:cs="Arial"/>
          <w:sz w:val="18"/>
          <w:szCs w:val="18"/>
        </w:rPr>
        <w:t>As parcelas referentes a CGT, CDF e AOFER são obtidas por meio de uma simulação do sistema gerador em expansão para o atendimento a uma carga que, durante todo horizonte de planejamento, aceite um risco de déficit de energia de 5% ao ano.</w:t>
      </w:r>
    </w:p>
    <w:p w:rsidR="00597F41" w:rsidRDefault="00597F41" w:rsidP="00836367">
      <w:pPr>
        <w:spacing w:line="360" w:lineRule="auto"/>
        <w:rPr>
          <w:rFonts w:ascii="Arial" w:hAnsi="Arial" w:cs="Arial"/>
          <w:sz w:val="18"/>
          <w:szCs w:val="18"/>
        </w:rPr>
      </w:pPr>
      <w:r w:rsidRPr="00A16193">
        <w:rPr>
          <w:rFonts w:ascii="Arial" w:hAnsi="Arial" w:cs="Arial"/>
          <w:sz w:val="18"/>
          <w:szCs w:val="18"/>
        </w:rPr>
        <w:t>Estando calculado o CMEX pode-se calcular o Custo Marginal de Expansão de Energia, dado pela seguinte expressão:</w:t>
      </w:r>
    </w:p>
    <w:p w:rsidR="00A16193" w:rsidRPr="00A16193" w:rsidRDefault="00A16193" w:rsidP="00597F41">
      <w:pPr>
        <w:rPr>
          <w:rFonts w:ascii="Arial" w:hAnsi="Arial" w:cs="Arial"/>
          <w:sz w:val="18"/>
          <w:szCs w:val="18"/>
        </w:rPr>
      </w:pPr>
    </w:p>
    <w:p w:rsidR="00597F41" w:rsidRDefault="00E65268" w:rsidP="00597F41">
      <w:r>
        <w:rPr>
          <w:noProof/>
        </w:rPr>
        <w:object w:dxaOrig="1440" w:dyaOrig="1440">
          <v:shape id="_x0000_s1084" type="#_x0000_t75" style="position:absolute;margin-left:0;margin-top:0;width:153.7pt;height:30.75pt;z-index:251681792;visibility:visible;mso-wrap-edited:f" o:allowincell="f">
            <v:imagedata r:id="rId40" o:title=""/>
            <w10:wrap type="topAndBottom"/>
          </v:shape>
          <o:OLEObject Type="Embed" ProgID="Word.Picture.8" ShapeID="_x0000_s1084" DrawAspect="Content" ObjectID="_1627418315" r:id="rId41"/>
        </w:object>
      </w:r>
    </w:p>
    <w:p w:rsidR="00597F41" w:rsidRPr="004E132A" w:rsidRDefault="00597F41" w:rsidP="00836367">
      <w:pPr>
        <w:spacing w:line="360" w:lineRule="auto"/>
        <w:rPr>
          <w:rFonts w:ascii="Arial" w:hAnsi="Arial" w:cs="Arial"/>
          <w:sz w:val="18"/>
          <w:szCs w:val="18"/>
        </w:rPr>
      </w:pPr>
      <w:r w:rsidRPr="004E132A">
        <w:rPr>
          <w:rFonts w:ascii="Arial" w:hAnsi="Arial" w:cs="Arial"/>
          <w:sz w:val="18"/>
          <w:szCs w:val="18"/>
        </w:rPr>
        <w:t>onde:</w:t>
      </w:r>
    </w:p>
    <w:p w:rsidR="00597F41" w:rsidRPr="004E132A" w:rsidRDefault="00597F41" w:rsidP="00836367">
      <w:pPr>
        <w:spacing w:line="360" w:lineRule="auto"/>
        <w:rPr>
          <w:rFonts w:ascii="Arial" w:hAnsi="Arial" w:cs="Arial"/>
          <w:sz w:val="18"/>
          <w:szCs w:val="18"/>
        </w:rPr>
      </w:pPr>
      <w:r w:rsidRPr="004E132A">
        <w:rPr>
          <w:rFonts w:ascii="Arial" w:hAnsi="Arial" w:cs="Arial"/>
          <w:sz w:val="18"/>
          <w:szCs w:val="18"/>
        </w:rPr>
        <w:t>CME – em US$/MWh</w:t>
      </w:r>
    </w:p>
    <w:p w:rsidR="00597F41" w:rsidRPr="004E132A" w:rsidRDefault="00597F41" w:rsidP="00836367">
      <w:pPr>
        <w:spacing w:line="360" w:lineRule="auto"/>
        <w:rPr>
          <w:rFonts w:ascii="Arial" w:hAnsi="Arial" w:cs="Arial"/>
          <w:sz w:val="18"/>
          <w:szCs w:val="18"/>
        </w:rPr>
      </w:pPr>
      <w:r w:rsidRPr="004E132A">
        <w:rPr>
          <w:rFonts w:ascii="Arial" w:hAnsi="Arial" w:cs="Arial"/>
          <w:sz w:val="18"/>
          <w:szCs w:val="18"/>
        </w:rPr>
        <w:t>CMP – custo incremental de usinas de ponta, em $/kW;</w:t>
      </w:r>
    </w:p>
    <w:p w:rsidR="00597F41" w:rsidRPr="004E132A" w:rsidRDefault="00597F41" w:rsidP="00836367">
      <w:pPr>
        <w:spacing w:line="360" w:lineRule="auto"/>
        <w:rPr>
          <w:rFonts w:ascii="Arial" w:hAnsi="Arial" w:cs="Arial"/>
          <w:sz w:val="18"/>
          <w:szCs w:val="18"/>
        </w:rPr>
      </w:pPr>
      <w:r w:rsidRPr="004E132A">
        <w:rPr>
          <w:rFonts w:ascii="Arial" w:hAnsi="Arial" w:cs="Arial"/>
          <w:sz w:val="18"/>
          <w:szCs w:val="18"/>
        </w:rPr>
        <w:sym w:font="Symbol" w:char="F044"/>
      </w:r>
      <w:r w:rsidRPr="004E132A">
        <w:rPr>
          <w:rFonts w:ascii="Arial" w:hAnsi="Arial" w:cs="Arial"/>
          <w:sz w:val="18"/>
          <w:szCs w:val="18"/>
        </w:rPr>
        <w:t>Peq – acréscimo equivalente de potência instalada na expansão, em kW.</w:t>
      </w:r>
    </w:p>
    <w:p w:rsidR="00597F41" w:rsidRPr="004E132A" w:rsidRDefault="00597F41" w:rsidP="00836367">
      <w:pPr>
        <w:spacing w:line="360" w:lineRule="auto"/>
        <w:rPr>
          <w:rFonts w:ascii="Arial" w:hAnsi="Arial" w:cs="Arial"/>
          <w:sz w:val="18"/>
          <w:szCs w:val="18"/>
        </w:rPr>
      </w:pPr>
    </w:p>
    <w:p w:rsidR="00597F41" w:rsidRDefault="00305EE7" w:rsidP="00836367">
      <w:pPr>
        <w:spacing w:line="360" w:lineRule="auto"/>
        <w:jc w:val="both"/>
      </w:pPr>
      <w:r w:rsidRPr="004E132A">
        <w:rPr>
          <w:rFonts w:ascii="Arial" w:hAnsi="Arial" w:cs="Arial"/>
          <w:sz w:val="18"/>
          <w:szCs w:val="18"/>
        </w:rPr>
        <w:t>Por se tratar de um sistema predominantemente hidroelétrico, conforme apresentado, o CME era aproximado por um custo incremental médio cujo cálculo estava relacionado a razão entre o operador valor presente dos acréscimos dos custos anuais de investimento, operação e manutenção, déficit e combustíveis com o operador valor presente do acréscimo da oferta de energia garantida associada a um risco de déficit de energia de 5 % a.a. O cálculo do CME levava em consideração apenas projetos de geração que entravam entre o 6</w:t>
      </w:r>
      <w:r w:rsidRPr="004E132A">
        <w:rPr>
          <w:rFonts w:ascii="Arial" w:hAnsi="Arial" w:cs="Arial"/>
          <w:color w:val="000000" w:themeColor="text1"/>
          <w:sz w:val="18"/>
          <w:szCs w:val="18"/>
          <w:u w:val="single"/>
          <w:vertAlign w:val="superscript"/>
        </w:rPr>
        <w:t>o</w:t>
      </w:r>
      <w:r w:rsidRPr="004E132A">
        <w:rPr>
          <w:rFonts w:ascii="Arial" w:hAnsi="Arial" w:cs="Arial"/>
          <w:sz w:val="18"/>
          <w:szCs w:val="18"/>
        </w:rPr>
        <w:t xml:space="preserve"> e o 10</w:t>
      </w:r>
      <w:r w:rsidRPr="004E132A">
        <w:rPr>
          <w:rFonts w:ascii="Arial" w:hAnsi="Arial" w:cs="Arial"/>
          <w:sz w:val="18"/>
          <w:szCs w:val="18"/>
          <w:u w:val="single"/>
          <w:vertAlign w:val="superscript"/>
        </w:rPr>
        <w:t xml:space="preserve"> o</w:t>
      </w:r>
      <w:r w:rsidRPr="004E132A">
        <w:rPr>
          <w:rFonts w:ascii="Arial" w:hAnsi="Arial" w:cs="Arial"/>
          <w:sz w:val="18"/>
          <w:szCs w:val="18"/>
        </w:rPr>
        <w:t xml:space="preserve"> ano do horizonte decenal. A condição de otimalidade dar-se-ia quando CME = CMO, sendo que o custo de déficit era calculado implicitamente (Custo Implícito de Déficit de Energia – CIDE). O cálculo do CME servia como um indicador da competitividade econômica de projetos de geração, como também no cálculo da Tarifa de Suprimento de Energia entre Empresas. Na segunda metade da década de 1990, com a transformação do planejamento determinativo para indicativo, bem como a competição no mercado, as supridoras de energia elétrica não enviavam os dados necessários para o cálculo do CME. Diante desse fato, o agente planejador, GCPS e depois o CCPE, utilizaram o Custo Médio Ponderado de Geração (CMPG) como uma “proxy” do CME. Tal cálculo foi feito de modo eminentemente determinístico, pois o benefício energético de uma UHE baseava-se na Energia Firme Local e a de uma UTE levava em conta as saídas forçadas e programadas</w:t>
      </w:r>
      <w:r w:rsidR="00836367">
        <w:rPr>
          <w:rFonts w:ascii="Arial" w:hAnsi="Arial" w:cs="Arial"/>
          <w:sz w:val="18"/>
          <w:szCs w:val="18"/>
        </w:rPr>
        <w:t>,</w:t>
      </w:r>
      <w:r w:rsidRPr="004E132A">
        <w:rPr>
          <w:rFonts w:ascii="Arial" w:hAnsi="Arial" w:cs="Arial"/>
          <w:sz w:val="18"/>
          <w:szCs w:val="18"/>
        </w:rPr>
        <w:t xml:space="preserve"> bem como sua </w:t>
      </w:r>
      <w:r w:rsidRPr="004E132A">
        <w:rPr>
          <w:rFonts w:ascii="Arial" w:hAnsi="Arial" w:cs="Arial"/>
          <w:sz w:val="18"/>
          <w:szCs w:val="18"/>
        </w:rPr>
        <w:lastRenderedPageBreak/>
        <w:t>eficiência na conversão de energia [29]. Entretanto, o procedimento é descontinuado pela EPE em razão de problemas relacionados a orçamentos e substituído por uma estimativa que leva em consideração o custo médio das fontes</w:t>
      </w:r>
      <w:r w:rsidR="00836367">
        <w:rPr>
          <w:rFonts w:ascii="Arial" w:hAnsi="Arial" w:cs="Arial"/>
          <w:sz w:val="18"/>
          <w:szCs w:val="18"/>
        </w:rPr>
        <w:t>,</w:t>
      </w:r>
      <w:r w:rsidRPr="004E132A">
        <w:rPr>
          <w:rFonts w:ascii="Arial" w:hAnsi="Arial" w:cs="Arial"/>
          <w:sz w:val="18"/>
          <w:szCs w:val="18"/>
        </w:rPr>
        <w:t xml:space="preserve"> ponderado pela previsão da expansão da oferta da energia representada pela garantia física adicionada nos próximos 5 anos</w:t>
      </w:r>
      <w:r w:rsidR="00544AE0" w:rsidRPr="004E132A">
        <w:rPr>
          <w:rFonts w:ascii="Arial" w:hAnsi="Arial" w:cs="Arial"/>
          <w:sz w:val="18"/>
          <w:szCs w:val="18"/>
        </w:rPr>
        <w:t xml:space="preserve"> [30]</w:t>
      </w:r>
      <w:r w:rsidRPr="004E132A">
        <w:rPr>
          <w:rFonts w:ascii="Arial" w:hAnsi="Arial" w:cs="Arial"/>
          <w:sz w:val="18"/>
          <w:szCs w:val="18"/>
        </w:rPr>
        <w:t xml:space="preserve">. Por fim, </w:t>
      </w:r>
      <w:r w:rsidR="000A430C" w:rsidRPr="004E132A">
        <w:rPr>
          <w:rFonts w:ascii="Arial" w:hAnsi="Arial" w:cs="Arial"/>
          <w:sz w:val="18"/>
          <w:szCs w:val="18"/>
        </w:rPr>
        <w:t>o atual cálculo do CME é feito a partir do Modelo de Decisão de Investimento que proporciona o cálculo do CME, do Custo Marginal de Potência (CMP) e do Custo Marginal de Expansão a partir das respectivas variáveis duais.</w:t>
      </w:r>
    </w:p>
    <w:p w:rsidR="00597F41" w:rsidRPr="001A4DF0" w:rsidRDefault="00597F41" w:rsidP="00B36CD6">
      <w:pPr>
        <w:spacing w:line="360" w:lineRule="auto"/>
        <w:jc w:val="both"/>
        <w:rPr>
          <w:rFonts w:ascii="Arial" w:hAnsi="Arial" w:cs="Arial"/>
          <w:sz w:val="18"/>
          <w:szCs w:val="18"/>
        </w:rPr>
      </w:pPr>
    </w:p>
    <w:p w:rsidR="001A4DF0" w:rsidRPr="00A16193" w:rsidRDefault="00A16193" w:rsidP="00A16193">
      <w:pPr>
        <w:pStyle w:val="Ttulo1"/>
        <w:rPr>
          <w:sz w:val="18"/>
          <w:szCs w:val="18"/>
        </w:rPr>
      </w:pPr>
      <w:r w:rsidRPr="00A16193">
        <w:rPr>
          <w:sz w:val="18"/>
          <w:szCs w:val="18"/>
        </w:rPr>
        <w:t>5 CUSTO DE DEFICIT DE ENERGIA</w:t>
      </w:r>
    </w:p>
    <w:p w:rsidR="00A16193" w:rsidRDefault="00A16193" w:rsidP="00A16193">
      <w:pPr>
        <w:widowControl w:val="0"/>
        <w:spacing w:before="216" w:line="360" w:lineRule="auto"/>
        <w:ind w:right="72"/>
        <w:jc w:val="both"/>
        <w:rPr>
          <w:rFonts w:ascii="Arial" w:hAnsi="Arial" w:cs="Arial"/>
          <w:sz w:val="18"/>
          <w:szCs w:val="18"/>
          <w:lang w:eastAsia="af-ZA"/>
        </w:rPr>
      </w:pPr>
      <w:r w:rsidRPr="00A16193">
        <w:rPr>
          <w:rFonts w:ascii="Arial" w:hAnsi="Arial" w:cs="Arial"/>
          <w:sz w:val="18"/>
          <w:szCs w:val="18"/>
          <w:lang w:eastAsia="af-ZA"/>
        </w:rPr>
        <w:t xml:space="preserve">Conforme informado, o critério baseado em risco anual de déficit de energia faz com que o custo de déficit de energia (CDE) seja calculado implicitamente. Seu cálculo considera duas etapas: </w:t>
      </w:r>
    </w:p>
    <w:p w:rsidR="00A16193" w:rsidRDefault="00A16193" w:rsidP="00A16193">
      <w:pPr>
        <w:widowControl w:val="0"/>
        <w:spacing w:before="216" w:line="360" w:lineRule="auto"/>
        <w:ind w:right="72"/>
        <w:jc w:val="both"/>
        <w:rPr>
          <w:rFonts w:ascii="Arial" w:hAnsi="Arial" w:cs="Arial"/>
          <w:sz w:val="18"/>
          <w:szCs w:val="18"/>
          <w:lang w:eastAsia="af-ZA"/>
        </w:rPr>
      </w:pPr>
      <w:r>
        <w:rPr>
          <w:rFonts w:ascii="Arial" w:hAnsi="Arial" w:cs="Arial"/>
          <w:sz w:val="18"/>
          <w:szCs w:val="18"/>
          <w:lang w:eastAsia="af-ZA"/>
        </w:rPr>
        <w:t>i)</w:t>
      </w:r>
      <w:r w:rsidR="00836367">
        <w:rPr>
          <w:rFonts w:ascii="Arial" w:hAnsi="Arial" w:cs="Arial"/>
          <w:sz w:val="18"/>
          <w:szCs w:val="18"/>
          <w:lang w:eastAsia="af-ZA"/>
        </w:rPr>
        <w:t xml:space="preserve"> D</w:t>
      </w:r>
      <w:r w:rsidRPr="00A16193">
        <w:rPr>
          <w:rFonts w:ascii="Arial" w:hAnsi="Arial" w:cs="Arial"/>
          <w:sz w:val="18"/>
          <w:szCs w:val="18"/>
          <w:lang w:eastAsia="af-ZA"/>
        </w:rPr>
        <w:t>etermina-se o mercado de oferta para um nível de risco dentro de um intervalo de confiança de 95%.</w:t>
      </w:r>
    </w:p>
    <w:p w:rsidR="00A16193" w:rsidRDefault="00A16193" w:rsidP="00A16193">
      <w:pPr>
        <w:widowControl w:val="0"/>
        <w:spacing w:before="216" w:line="360" w:lineRule="auto"/>
        <w:ind w:right="72"/>
        <w:jc w:val="both"/>
        <w:rPr>
          <w:rFonts w:ascii="Arial" w:hAnsi="Arial" w:cs="Arial"/>
          <w:sz w:val="18"/>
          <w:szCs w:val="18"/>
          <w:lang w:eastAsia="af-ZA"/>
        </w:rPr>
      </w:pPr>
      <w:r>
        <w:rPr>
          <w:rFonts w:ascii="Arial" w:hAnsi="Arial" w:cs="Arial"/>
          <w:sz w:val="18"/>
          <w:szCs w:val="18"/>
          <w:lang w:eastAsia="af-ZA"/>
        </w:rPr>
        <w:t xml:space="preserve">ii) </w:t>
      </w:r>
      <w:r w:rsidR="00836367">
        <w:rPr>
          <w:rFonts w:ascii="Arial" w:hAnsi="Arial" w:cs="Arial"/>
          <w:sz w:val="18"/>
          <w:szCs w:val="18"/>
          <w:lang w:eastAsia="af-ZA"/>
        </w:rPr>
        <w:t>P</w:t>
      </w:r>
      <w:r w:rsidRPr="00A16193">
        <w:rPr>
          <w:rFonts w:ascii="Arial" w:hAnsi="Arial" w:cs="Arial"/>
          <w:sz w:val="18"/>
          <w:szCs w:val="18"/>
          <w:lang w:eastAsia="af-ZA"/>
        </w:rPr>
        <w:t>arte-se de</w:t>
      </w:r>
      <w:r w:rsidR="00836367">
        <w:rPr>
          <w:rFonts w:ascii="Arial" w:hAnsi="Arial" w:cs="Arial"/>
          <w:sz w:val="18"/>
          <w:szCs w:val="18"/>
          <w:lang w:eastAsia="af-ZA"/>
        </w:rPr>
        <w:t xml:space="preserve"> um</w:t>
      </w:r>
      <w:r w:rsidRPr="00A16193">
        <w:rPr>
          <w:rFonts w:ascii="Arial" w:hAnsi="Arial" w:cs="Arial"/>
          <w:sz w:val="18"/>
          <w:szCs w:val="18"/>
          <w:lang w:eastAsia="af-ZA"/>
        </w:rPr>
        <w:t xml:space="preserve"> CDE</w:t>
      </w:r>
      <w:r w:rsidR="00836367">
        <w:rPr>
          <w:rFonts w:ascii="Arial" w:hAnsi="Arial" w:cs="Arial"/>
          <w:sz w:val="18"/>
          <w:szCs w:val="18"/>
          <w:lang w:eastAsia="af-ZA"/>
        </w:rPr>
        <w:t xml:space="preserve"> </w:t>
      </w:r>
      <w:r w:rsidRPr="00A16193">
        <w:rPr>
          <w:rFonts w:ascii="Arial" w:hAnsi="Arial" w:cs="Arial"/>
          <w:sz w:val="18"/>
          <w:szCs w:val="18"/>
          <w:lang w:eastAsia="af-ZA"/>
        </w:rPr>
        <w:t>e a partir de um processo iterativo, ter-se-á a condição de igualdade entre os custos marginais (CMO = CME). Os incrementos de CDE serão realizados enquanto a seguinte regra empírica for superior a 3%: CDE</w:t>
      </w:r>
      <w:r w:rsidRPr="00A16193">
        <w:rPr>
          <w:rFonts w:ascii="Arial" w:hAnsi="Arial" w:cs="Arial"/>
          <w:sz w:val="18"/>
          <w:szCs w:val="18"/>
          <w:vertAlign w:val="subscript"/>
          <w:lang w:eastAsia="af-ZA"/>
        </w:rPr>
        <w:t>i+1</w:t>
      </w:r>
      <w:r w:rsidRPr="00A16193">
        <w:rPr>
          <w:rFonts w:ascii="Arial" w:hAnsi="Arial" w:cs="Arial"/>
          <w:sz w:val="18"/>
          <w:szCs w:val="18"/>
          <w:lang w:eastAsia="af-ZA"/>
        </w:rPr>
        <w:t xml:space="preserve"> = CED</w:t>
      </w:r>
      <w:r w:rsidRPr="00A16193">
        <w:rPr>
          <w:rFonts w:ascii="Arial" w:hAnsi="Arial" w:cs="Arial"/>
          <w:sz w:val="18"/>
          <w:szCs w:val="18"/>
          <w:vertAlign w:val="subscript"/>
          <w:lang w:eastAsia="af-ZA"/>
        </w:rPr>
        <w:t>i</w:t>
      </w:r>
      <w:r w:rsidRPr="00A16193">
        <w:rPr>
          <w:rFonts w:ascii="Arial" w:hAnsi="Arial" w:cs="Arial"/>
          <w:sz w:val="18"/>
          <w:szCs w:val="18"/>
          <w:lang w:eastAsia="af-ZA"/>
        </w:rPr>
        <w:t xml:space="preserve"> x CME</w:t>
      </w:r>
      <w:r w:rsidRPr="00A16193">
        <w:rPr>
          <w:rFonts w:ascii="Arial" w:hAnsi="Arial" w:cs="Arial"/>
          <w:sz w:val="18"/>
          <w:szCs w:val="18"/>
          <w:vertAlign w:val="subscript"/>
          <w:lang w:eastAsia="af-ZA"/>
        </w:rPr>
        <w:t>i</w:t>
      </w:r>
      <w:r w:rsidRPr="00A16193">
        <w:rPr>
          <w:rFonts w:ascii="Arial" w:hAnsi="Arial" w:cs="Arial"/>
          <w:sz w:val="18"/>
          <w:szCs w:val="18"/>
          <w:lang w:eastAsia="af-ZA"/>
        </w:rPr>
        <w:t>/CMO</w:t>
      </w:r>
      <w:r w:rsidRPr="00A16193">
        <w:rPr>
          <w:rFonts w:ascii="Arial" w:hAnsi="Arial" w:cs="Arial"/>
          <w:sz w:val="18"/>
          <w:szCs w:val="18"/>
          <w:vertAlign w:val="subscript"/>
          <w:lang w:eastAsia="af-ZA"/>
        </w:rPr>
        <w:t>i</w:t>
      </w:r>
      <w:r w:rsidRPr="00A16193">
        <w:rPr>
          <w:rFonts w:ascii="Arial" w:hAnsi="Arial" w:cs="Arial"/>
          <w:sz w:val="18"/>
          <w:szCs w:val="18"/>
          <w:lang w:eastAsia="af-ZA"/>
        </w:rPr>
        <w:t xml:space="preserve"> , onde i representa a última iteração. </w:t>
      </w:r>
    </w:p>
    <w:p w:rsidR="00A16193" w:rsidRDefault="00A16193" w:rsidP="00A16193">
      <w:pPr>
        <w:widowControl w:val="0"/>
        <w:spacing w:before="216" w:line="360" w:lineRule="auto"/>
        <w:ind w:right="72"/>
        <w:jc w:val="both"/>
        <w:rPr>
          <w:rFonts w:ascii="Arial" w:hAnsi="Arial" w:cs="Arial"/>
          <w:sz w:val="18"/>
          <w:szCs w:val="18"/>
          <w:lang w:eastAsia="af-ZA"/>
        </w:rPr>
      </w:pPr>
      <w:r w:rsidRPr="00A16193">
        <w:rPr>
          <w:rFonts w:ascii="Arial" w:hAnsi="Arial" w:cs="Arial"/>
          <w:sz w:val="18"/>
          <w:szCs w:val="18"/>
          <w:lang w:eastAsia="af-ZA"/>
        </w:rPr>
        <w:t>A competição no segmento de geração implicou na necessidade de que fosse sinalizado o efetivo custo de não atendimento de energia elétrica, isto é, foi premente a construção de uma função custo de déficit que apresentasse o verdadeiro impacto econômico. No final da década de 1990, um parecer do GCPS (1</w:t>
      </w:r>
      <w:r>
        <w:rPr>
          <w:rFonts w:ascii="Arial" w:hAnsi="Arial" w:cs="Arial"/>
          <w:sz w:val="18"/>
          <w:szCs w:val="18"/>
          <w:lang w:eastAsia="af-ZA"/>
        </w:rPr>
        <w:t>9</w:t>
      </w:r>
      <w:r w:rsidRPr="00A16193">
        <w:rPr>
          <w:rFonts w:ascii="Arial" w:hAnsi="Arial" w:cs="Arial"/>
          <w:sz w:val="18"/>
          <w:szCs w:val="18"/>
          <w:lang w:eastAsia="af-ZA"/>
        </w:rPr>
        <w:t xml:space="preserve">) e trabalhos técnicos (eg. 18), sinalizaram a necessidade da adoção do critério do Custo Explícito de Déficit de Energia (CEDE).  Neste caso, o CME é parametrizado e ajusta-se a oferta de energia, para cada ano do horizonte de simulação, de tal forma que os custos marginais de curto e longo prazos se igualem. Portanto, este critério implica que a otimalidade do plano de expansão, para cada subsistema, resulta numa probabilidade anual de déficit implícita. </w:t>
      </w:r>
    </w:p>
    <w:p w:rsidR="00A16193" w:rsidRPr="00A16193" w:rsidRDefault="00A16193" w:rsidP="00A16193">
      <w:pPr>
        <w:widowControl w:val="0"/>
        <w:spacing w:before="216" w:line="360" w:lineRule="auto"/>
        <w:ind w:right="72"/>
        <w:jc w:val="both"/>
        <w:rPr>
          <w:rFonts w:ascii="Arial" w:hAnsi="Arial" w:cs="Arial"/>
          <w:sz w:val="18"/>
          <w:szCs w:val="18"/>
          <w:lang w:eastAsia="af-ZA"/>
        </w:rPr>
      </w:pPr>
      <w:r w:rsidRPr="00A16193">
        <w:rPr>
          <w:rFonts w:ascii="Arial" w:hAnsi="Arial" w:cs="Arial"/>
          <w:sz w:val="18"/>
          <w:szCs w:val="18"/>
          <w:lang w:eastAsia="af-ZA"/>
        </w:rPr>
        <w:t>Problema relacionado a temporalidade fez com que a proposta do uso da Matriz Insumo Produto para o cálculo do CEDE fosse substituída por uma abordagem que utiliza a regressão linear entre o Produto Interno Bruto e o Consumo Energia Elétrica (CEE). Sendo assim, a estimativa do CDE é realizada por meio do produto da elasticidade PIB-CEE pela produtividade de energia elétrica (</w:t>
      </w:r>
      <w:r w:rsidR="004E132A">
        <w:rPr>
          <w:rFonts w:ascii="Arial" w:hAnsi="Arial" w:cs="Arial"/>
          <w:sz w:val="18"/>
          <w:szCs w:val="18"/>
          <w:lang w:eastAsia="af-ZA"/>
        </w:rPr>
        <w:t>31</w:t>
      </w:r>
      <w:r w:rsidRPr="00A16193">
        <w:rPr>
          <w:rFonts w:ascii="Arial" w:hAnsi="Arial" w:cs="Arial"/>
          <w:sz w:val="18"/>
          <w:szCs w:val="18"/>
          <w:lang w:eastAsia="af-ZA"/>
        </w:rPr>
        <w:t>). Tal metodologia começou efetivamente a ser aplicada no planejamento da expansão, de 2008, por meio da Resolução Homologatória n</w:t>
      </w:r>
      <w:r w:rsidRPr="00A16193">
        <w:rPr>
          <w:rFonts w:ascii="Arial" w:hAnsi="Arial" w:cs="Arial"/>
          <w:sz w:val="18"/>
          <w:szCs w:val="18"/>
          <w:u w:val="single"/>
          <w:vertAlign w:val="superscript"/>
          <w:lang w:eastAsia="af-ZA"/>
        </w:rPr>
        <w:t>0</w:t>
      </w:r>
      <w:r w:rsidRPr="00A16193">
        <w:rPr>
          <w:rFonts w:ascii="Arial" w:hAnsi="Arial" w:cs="Arial"/>
          <w:sz w:val="18"/>
          <w:szCs w:val="18"/>
          <w:lang w:eastAsia="af-ZA"/>
        </w:rPr>
        <w:t xml:space="preserve"> 597 de 18/12/2007 que informa os valores da Curva de Déficit. A partir daí, são realizadas homologações anuais onde são atualizados os patamares de carga. Como o PEGEE trabalha com patamar único, a EPE desenvolveu uma metodologia que implicasse no menor impacto possível na média e desvio padrão dos CMOs a partir do critério de menor média de variações relativas (</w:t>
      </w:r>
      <w:r w:rsidR="004E132A">
        <w:rPr>
          <w:rFonts w:ascii="Arial" w:hAnsi="Arial" w:cs="Arial"/>
          <w:sz w:val="18"/>
          <w:szCs w:val="18"/>
          <w:lang w:eastAsia="af-ZA"/>
        </w:rPr>
        <w:t>32</w:t>
      </w:r>
      <w:r w:rsidRPr="00A16193">
        <w:rPr>
          <w:rFonts w:ascii="Arial" w:hAnsi="Arial" w:cs="Arial"/>
          <w:sz w:val="18"/>
          <w:szCs w:val="18"/>
          <w:lang w:eastAsia="af-ZA"/>
        </w:rPr>
        <w:t>). Estes fatos merecem os seguintes comentários:</w:t>
      </w:r>
    </w:p>
    <w:p w:rsidR="00A16193" w:rsidRPr="00A16193" w:rsidRDefault="00A16193" w:rsidP="00A16193">
      <w:pPr>
        <w:widowControl w:val="0"/>
        <w:spacing w:line="360" w:lineRule="auto"/>
        <w:ind w:right="74"/>
        <w:jc w:val="both"/>
        <w:rPr>
          <w:rFonts w:ascii="Arial" w:hAnsi="Arial" w:cs="Arial"/>
          <w:sz w:val="18"/>
          <w:szCs w:val="18"/>
        </w:rPr>
      </w:pPr>
      <w:r w:rsidRPr="00A16193">
        <w:rPr>
          <w:rFonts w:ascii="Arial" w:hAnsi="Arial" w:cs="Arial"/>
          <w:sz w:val="18"/>
          <w:szCs w:val="18"/>
        </w:rPr>
        <w:t>i) A substituição do critério do risco anual de déficit não eliminou o pressuposto fundamental pois tanto o Risco Explícito de Insuficiência de Energia e, posteriormente, pela igualdade entre Custo Marginal de Operação e Custo Marginal de Expansão, apresentam um limite superior para insuficiência de déficit em 5% a.a. quando na verdade a  probabilidade anual de déficit é obrigatoriamente implícita ou como afirma (</w:t>
      </w:r>
      <w:r w:rsidR="004E132A">
        <w:rPr>
          <w:rFonts w:ascii="Arial" w:hAnsi="Arial" w:cs="Arial"/>
          <w:sz w:val="18"/>
          <w:szCs w:val="18"/>
        </w:rPr>
        <w:t>33</w:t>
      </w:r>
      <w:r w:rsidRPr="00A16193">
        <w:rPr>
          <w:rFonts w:ascii="Arial" w:hAnsi="Arial" w:cs="Arial"/>
          <w:sz w:val="18"/>
          <w:szCs w:val="18"/>
        </w:rPr>
        <w:t>): “</w:t>
      </w:r>
      <w:r w:rsidRPr="00A16193">
        <w:rPr>
          <w:rFonts w:ascii="Arial" w:hAnsi="Arial" w:cs="Arial"/>
          <w:color w:val="000000"/>
          <w:sz w:val="18"/>
          <w:szCs w:val="18"/>
        </w:rPr>
        <w:t xml:space="preserve">Na realidade há uma “dupla definição” do critério de garantia. Definido o risco máximo, o setor sabe calcular qual o custo “implícito” do déficit. Por outro lado, definido um custo do déficit e adotando-se a igualdade entre cme e cmo </w:t>
      </w:r>
      <w:r w:rsidRPr="00A16193">
        <w:rPr>
          <w:rFonts w:ascii="Arial" w:hAnsi="Arial" w:cs="Arial"/>
          <w:color w:val="000000"/>
          <w:sz w:val="18"/>
          <w:szCs w:val="18"/>
        </w:rPr>
        <w:lastRenderedPageBreak/>
        <w:t>médio, o risco está definido.”</w:t>
      </w:r>
    </w:p>
    <w:p w:rsidR="00A72759" w:rsidRDefault="00A16193" w:rsidP="00A16193">
      <w:pPr>
        <w:pStyle w:val="Ttulo2"/>
        <w:spacing w:line="360" w:lineRule="auto"/>
        <w:jc w:val="both"/>
        <w:rPr>
          <w:b w:val="0"/>
          <w:i w:val="0"/>
          <w:sz w:val="18"/>
          <w:szCs w:val="18"/>
        </w:rPr>
      </w:pPr>
      <w:r w:rsidRPr="004E132A">
        <w:rPr>
          <w:b w:val="0"/>
          <w:i w:val="0"/>
          <w:sz w:val="18"/>
          <w:szCs w:val="18"/>
        </w:rPr>
        <w:t>ii) Mesmo com os cuidados, quando da passagem do Custo de Déficit em 4 patamares de carga para um patamar único</w:t>
      </w:r>
      <w:r w:rsidR="009C25D5">
        <w:rPr>
          <w:b w:val="0"/>
          <w:i w:val="0"/>
          <w:sz w:val="18"/>
          <w:szCs w:val="18"/>
        </w:rPr>
        <w:t>,</w:t>
      </w:r>
      <w:r w:rsidRPr="004E132A">
        <w:rPr>
          <w:b w:val="0"/>
          <w:i w:val="0"/>
          <w:sz w:val="18"/>
          <w:szCs w:val="18"/>
        </w:rPr>
        <w:t xml:space="preserve"> os seus respectivos CMO´s apresentarão distribuições distintas. Conforme visto, o CMO é o fator ponderador dos blocos hidráulico e térmico para o cálculo da garantia física. Sendo assim, existe a possibilidade de existir energias operacionalmente inviáveis como afirma (</w:t>
      </w:r>
      <w:r w:rsidR="004E132A">
        <w:rPr>
          <w:b w:val="0"/>
          <w:i w:val="0"/>
          <w:sz w:val="18"/>
          <w:szCs w:val="18"/>
        </w:rPr>
        <w:t>33</w:t>
      </w:r>
      <w:r w:rsidRPr="004E132A">
        <w:rPr>
          <w:b w:val="0"/>
          <w:i w:val="0"/>
          <w:sz w:val="18"/>
          <w:szCs w:val="18"/>
        </w:rPr>
        <w:t>).</w:t>
      </w:r>
    </w:p>
    <w:p w:rsidR="00A72759" w:rsidRPr="004E132A" w:rsidRDefault="004E132A" w:rsidP="004E132A">
      <w:pPr>
        <w:pStyle w:val="Ttulo1"/>
        <w:rPr>
          <w:sz w:val="18"/>
          <w:szCs w:val="18"/>
        </w:rPr>
      </w:pPr>
      <w:r w:rsidRPr="004E132A">
        <w:rPr>
          <w:sz w:val="18"/>
          <w:szCs w:val="18"/>
        </w:rPr>
        <w:t>6 Dimensionamento Energético Econômico de UHE</w:t>
      </w:r>
    </w:p>
    <w:p w:rsidR="004E132A" w:rsidRDefault="004E132A" w:rsidP="004E132A">
      <w:pPr>
        <w:jc w:val="both"/>
      </w:pPr>
    </w:p>
    <w:p w:rsidR="00A72759" w:rsidRDefault="004E132A" w:rsidP="009C25D5">
      <w:pPr>
        <w:spacing w:line="360" w:lineRule="auto"/>
        <w:jc w:val="both"/>
        <w:rPr>
          <w:rFonts w:ascii="Arial" w:hAnsi="Arial" w:cs="Arial"/>
          <w:sz w:val="18"/>
          <w:szCs w:val="18"/>
        </w:rPr>
      </w:pPr>
      <w:r w:rsidRPr="004E132A">
        <w:rPr>
          <w:rFonts w:ascii="Arial" w:hAnsi="Arial" w:cs="Arial"/>
          <w:sz w:val="18"/>
          <w:szCs w:val="18"/>
        </w:rPr>
        <w:t>Entende-se por dimensionamento energético-econômico a definição dos principais parâmetros de um aproveitamento hidrelétrico que tem influência direta no seu desempenho energético (níveis de armazenamento, potência instalada e quedas das turbinas).</w:t>
      </w:r>
    </w:p>
    <w:p w:rsidR="004E132A" w:rsidRDefault="004E132A" w:rsidP="009C25D5">
      <w:pPr>
        <w:spacing w:line="360" w:lineRule="auto"/>
        <w:jc w:val="both"/>
        <w:rPr>
          <w:rFonts w:ascii="Arial" w:hAnsi="Arial" w:cs="Arial"/>
          <w:sz w:val="18"/>
          <w:szCs w:val="18"/>
        </w:rPr>
      </w:pPr>
    </w:p>
    <w:p w:rsidR="00A72759" w:rsidRDefault="001F63C4" w:rsidP="009C25D5">
      <w:pPr>
        <w:spacing w:line="360" w:lineRule="auto"/>
        <w:jc w:val="both"/>
        <w:rPr>
          <w:rFonts w:ascii="Arial" w:hAnsi="Arial" w:cs="Arial"/>
          <w:sz w:val="18"/>
          <w:szCs w:val="18"/>
        </w:rPr>
      </w:pPr>
      <w:r w:rsidRPr="001F63C4">
        <w:rPr>
          <w:rFonts w:ascii="Arial" w:hAnsi="Arial" w:cs="Arial"/>
          <w:sz w:val="18"/>
          <w:szCs w:val="18"/>
        </w:rPr>
        <w:t>Na análise energética do empreendimento utiliza-se o Critério Tradicional (cf 3.1). A razão disso se deve a facilidade de implementação computacional, garantindo assim tanto a reprodutibilidade quanto à transparência dos resultados, que são condições fundamentais num ambiente competitivo. Desse modo, a avaliação do benefício energético de um aproveitamento hidroelétrico se dá por meio do ganho de energia firme que o mesmo acrescenta ao sistema.</w:t>
      </w:r>
      <w:r>
        <w:rPr>
          <w:rFonts w:ascii="Arial" w:hAnsi="Arial" w:cs="Arial"/>
          <w:sz w:val="18"/>
          <w:szCs w:val="18"/>
        </w:rPr>
        <w:t xml:space="preserve"> </w:t>
      </w:r>
      <w:r w:rsidRPr="001F63C4">
        <w:rPr>
          <w:rFonts w:ascii="Arial" w:hAnsi="Arial" w:cs="Arial"/>
          <w:sz w:val="18"/>
          <w:szCs w:val="18"/>
        </w:rPr>
        <w:t>A metodologia utilizada para otimizar os parâmetros físico-operativos de um empreendimento hidrelétrico é baseada na análise benefício/custo incremental</w:t>
      </w:r>
      <w:r>
        <w:rPr>
          <w:rFonts w:ascii="Arial" w:hAnsi="Arial" w:cs="Arial"/>
          <w:sz w:val="18"/>
          <w:szCs w:val="18"/>
        </w:rPr>
        <w:t xml:space="preserve">. Algumas questões </w:t>
      </w:r>
      <w:r w:rsidR="000B0C5A">
        <w:rPr>
          <w:rFonts w:ascii="Arial" w:hAnsi="Arial" w:cs="Arial"/>
          <w:sz w:val="18"/>
          <w:szCs w:val="18"/>
        </w:rPr>
        <w:t>merecem especial atenção do grupo de trabalho uma vez que</w:t>
      </w:r>
      <w:r>
        <w:rPr>
          <w:rFonts w:ascii="Arial" w:hAnsi="Arial" w:cs="Arial"/>
          <w:sz w:val="18"/>
          <w:szCs w:val="18"/>
        </w:rPr>
        <w:t xml:space="preserve"> pode influenciar a garantia física dos empreendimentos hidroelétricos, quais sejam:</w:t>
      </w:r>
    </w:p>
    <w:p w:rsidR="001F63C4" w:rsidRDefault="001F63C4" w:rsidP="009C25D5">
      <w:pPr>
        <w:spacing w:line="360" w:lineRule="auto"/>
        <w:jc w:val="both"/>
        <w:rPr>
          <w:rFonts w:ascii="Arial" w:hAnsi="Arial" w:cs="Arial"/>
          <w:sz w:val="18"/>
          <w:szCs w:val="18"/>
        </w:rPr>
      </w:pPr>
    </w:p>
    <w:p w:rsidR="006476A9" w:rsidRDefault="001F63C4" w:rsidP="009C25D5">
      <w:pPr>
        <w:spacing w:line="360" w:lineRule="auto"/>
        <w:jc w:val="both"/>
        <w:rPr>
          <w:rFonts w:ascii="Arial" w:hAnsi="Arial" w:cs="Arial"/>
          <w:sz w:val="18"/>
          <w:szCs w:val="18"/>
        </w:rPr>
      </w:pPr>
      <w:r>
        <w:rPr>
          <w:rFonts w:ascii="Arial" w:hAnsi="Arial" w:cs="Arial"/>
          <w:sz w:val="18"/>
          <w:szCs w:val="18"/>
        </w:rPr>
        <w:t>i) Custos de Referência: os benefícios energéticos proporcionados pelos ganhos de energia firme, de energia secundária e de ponta devem ser valorizados por custo marginais de longo prazo</w:t>
      </w:r>
      <w:r w:rsidR="006476A9">
        <w:rPr>
          <w:rFonts w:ascii="Arial" w:hAnsi="Arial" w:cs="Arial"/>
          <w:sz w:val="18"/>
          <w:szCs w:val="18"/>
        </w:rPr>
        <w:t xml:space="preserve"> que são representados por um </w:t>
      </w:r>
      <w:r w:rsidR="006476A9" w:rsidRPr="006476A9">
        <w:rPr>
          <w:rFonts w:ascii="Arial" w:hAnsi="Arial" w:cs="Arial"/>
          <w:sz w:val="18"/>
          <w:szCs w:val="18"/>
        </w:rPr>
        <w:t>valor equivalente de uma série crescente de custos marginais do sistema ao longo da vida útil do aproveitamento</w:t>
      </w:r>
      <w:r>
        <w:rPr>
          <w:rFonts w:ascii="Arial" w:hAnsi="Arial" w:cs="Arial"/>
          <w:sz w:val="18"/>
          <w:szCs w:val="18"/>
        </w:rPr>
        <w:t>. Infelizmente estes</w:t>
      </w:r>
      <w:r w:rsidR="006476A9">
        <w:rPr>
          <w:rFonts w:ascii="Arial" w:hAnsi="Arial" w:cs="Arial"/>
          <w:sz w:val="18"/>
          <w:szCs w:val="18"/>
        </w:rPr>
        <w:t xml:space="preserve"> valores não estão disponibilizados já há algum tempo.</w:t>
      </w:r>
    </w:p>
    <w:p w:rsidR="006476A9" w:rsidRDefault="006476A9" w:rsidP="009C25D5">
      <w:pPr>
        <w:spacing w:line="360" w:lineRule="auto"/>
        <w:jc w:val="both"/>
        <w:rPr>
          <w:rFonts w:ascii="Arial" w:hAnsi="Arial" w:cs="Arial"/>
          <w:sz w:val="18"/>
          <w:szCs w:val="18"/>
        </w:rPr>
      </w:pPr>
    </w:p>
    <w:p w:rsidR="00F06791" w:rsidRDefault="006476A9" w:rsidP="009C25D5">
      <w:pPr>
        <w:spacing w:line="360" w:lineRule="auto"/>
        <w:jc w:val="both"/>
        <w:rPr>
          <w:rFonts w:ascii="Arial" w:hAnsi="Arial" w:cs="Arial"/>
          <w:sz w:val="18"/>
          <w:szCs w:val="18"/>
        </w:rPr>
      </w:pPr>
      <w:r>
        <w:rPr>
          <w:rFonts w:ascii="Arial" w:hAnsi="Arial" w:cs="Arial"/>
          <w:sz w:val="18"/>
          <w:szCs w:val="18"/>
        </w:rPr>
        <w:t>ii) Período Crítico: observa-se que desde 2012 está sendo registrada uma sequência de período secos o qual poderá resultar num novo período crítico. Sendo assim foi realizada uma simulação individualizada com o</w:t>
      </w:r>
      <w:r w:rsidRPr="006476A9">
        <w:rPr>
          <w:rFonts w:ascii="Arial" w:hAnsi="Arial" w:cs="Arial"/>
          <w:sz w:val="18"/>
          <w:szCs w:val="18"/>
        </w:rPr>
        <w:t xml:space="preserve"> deck de garantia física do Leilão A-4 de 2019 publicado pela EPE.</w:t>
      </w:r>
      <w:r>
        <w:rPr>
          <w:rFonts w:ascii="Arial" w:hAnsi="Arial" w:cs="Arial"/>
          <w:sz w:val="18"/>
          <w:szCs w:val="18"/>
        </w:rPr>
        <w:t xml:space="preserve"> O modelo foi simulado de forma a buscar um período crítico dentro do histórico de vazões. A Figura 6 mostra</w:t>
      </w:r>
      <w:r w:rsidR="00F06791">
        <w:rPr>
          <w:rFonts w:ascii="Arial" w:hAnsi="Arial" w:cs="Arial"/>
          <w:sz w:val="18"/>
          <w:szCs w:val="18"/>
        </w:rPr>
        <w:t xml:space="preserve"> </w:t>
      </w:r>
      <w:r w:rsidR="00F06791" w:rsidRPr="00F06791">
        <w:rPr>
          <w:rFonts w:ascii="Arial" w:hAnsi="Arial" w:cs="Arial"/>
          <w:sz w:val="18"/>
          <w:szCs w:val="18"/>
        </w:rPr>
        <w:t>o resultado obtido que encontrou o período crítico compreendido entre maio de 1951 a novembro de 1955. Nota-se também que o período de março de 2012 a novembro de 2017 também foi definido como um período candidato do modelo. Porém não foi, até o momento (2017), o período mais crítico. A Tabela 7 comprova este resultado com a Energia Firme do SIN para ambos os períodos.</w:t>
      </w:r>
      <w:r w:rsidR="00F06791">
        <w:rPr>
          <w:rFonts w:ascii="Arial" w:hAnsi="Arial" w:cs="Arial"/>
          <w:sz w:val="18"/>
          <w:szCs w:val="18"/>
        </w:rPr>
        <w:t xml:space="preserve"> Observa-se </w:t>
      </w:r>
      <w:r w:rsidR="000B0C5A">
        <w:rPr>
          <w:rFonts w:ascii="Arial" w:hAnsi="Arial" w:cs="Arial"/>
          <w:sz w:val="18"/>
          <w:szCs w:val="18"/>
        </w:rPr>
        <w:t xml:space="preserve">que os </w:t>
      </w:r>
      <w:r w:rsidR="00F06791">
        <w:rPr>
          <w:rFonts w:ascii="Arial" w:hAnsi="Arial" w:cs="Arial"/>
          <w:sz w:val="18"/>
          <w:szCs w:val="18"/>
        </w:rPr>
        <w:t xml:space="preserve">valores </w:t>
      </w:r>
      <w:r w:rsidR="000B0C5A">
        <w:rPr>
          <w:rFonts w:ascii="Arial" w:hAnsi="Arial" w:cs="Arial"/>
          <w:sz w:val="18"/>
          <w:szCs w:val="18"/>
        </w:rPr>
        <w:t xml:space="preserve">são </w:t>
      </w:r>
      <w:r w:rsidR="00F06791">
        <w:rPr>
          <w:rFonts w:ascii="Arial" w:hAnsi="Arial" w:cs="Arial"/>
          <w:sz w:val="18"/>
          <w:szCs w:val="18"/>
        </w:rPr>
        <w:t>muito pr</w:t>
      </w:r>
      <w:r w:rsidR="000B0C5A">
        <w:rPr>
          <w:rFonts w:ascii="Arial" w:hAnsi="Arial" w:cs="Arial"/>
          <w:sz w:val="18"/>
          <w:szCs w:val="18"/>
        </w:rPr>
        <w:t xml:space="preserve">óximo. Isto </w:t>
      </w:r>
      <w:r w:rsidR="00F06791">
        <w:rPr>
          <w:rFonts w:ascii="Arial" w:hAnsi="Arial" w:cs="Arial"/>
          <w:sz w:val="18"/>
          <w:szCs w:val="18"/>
        </w:rPr>
        <w:t>pode inferir que ao colocar o ano de 2018 existe</w:t>
      </w:r>
      <w:r w:rsidR="000B0C5A">
        <w:rPr>
          <w:rFonts w:ascii="Arial" w:hAnsi="Arial" w:cs="Arial"/>
          <w:sz w:val="18"/>
          <w:szCs w:val="18"/>
        </w:rPr>
        <w:t xml:space="preserve"> </w:t>
      </w:r>
      <w:r w:rsidR="00F06791">
        <w:rPr>
          <w:rFonts w:ascii="Arial" w:hAnsi="Arial" w:cs="Arial"/>
          <w:sz w:val="18"/>
          <w:szCs w:val="18"/>
        </w:rPr>
        <w:t>a possibilidade de haver um novo período crítico. Tal fato poderá exigir, desde que conti</w:t>
      </w:r>
      <w:r w:rsidR="000B0C5A">
        <w:rPr>
          <w:rFonts w:ascii="Arial" w:hAnsi="Arial" w:cs="Arial"/>
          <w:sz w:val="18"/>
          <w:szCs w:val="18"/>
        </w:rPr>
        <w:t xml:space="preserve">nuando o procedimento atual, </w:t>
      </w:r>
      <w:r w:rsidR="00F06791">
        <w:rPr>
          <w:rFonts w:ascii="Arial" w:hAnsi="Arial" w:cs="Arial"/>
          <w:sz w:val="18"/>
          <w:szCs w:val="18"/>
        </w:rPr>
        <w:t>uma revisão extraordinária de garantia física dos aproveitamentos hidroelétricos.</w:t>
      </w:r>
    </w:p>
    <w:p w:rsidR="00F06791" w:rsidRDefault="00F06791" w:rsidP="001F63C4">
      <w:pPr>
        <w:jc w:val="both"/>
        <w:rPr>
          <w:rFonts w:ascii="Arial" w:hAnsi="Arial" w:cs="Arial"/>
          <w:sz w:val="18"/>
          <w:szCs w:val="18"/>
        </w:rPr>
      </w:pPr>
    </w:p>
    <w:p w:rsidR="001F63C4" w:rsidRDefault="00F06791" w:rsidP="00F06791">
      <w:pPr>
        <w:jc w:val="center"/>
        <w:rPr>
          <w:rFonts w:ascii="Arial" w:hAnsi="Arial" w:cs="Arial"/>
          <w:sz w:val="18"/>
          <w:szCs w:val="18"/>
        </w:rPr>
      </w:pPr>
      <w:r w:rsidRPr="00464B42">
        <w:rPr>
          <w:noProof/>
        </w:rPr>
        <w:lastRenderedPageBreak/>
        <w:drawing>
          <wp:inline distT="0" distB="0" distL="0" distR="0" wp14:anchorId="0C55E6ED" wp14:editId="5688D2E9">
            <wp:extent cx="3756660" cy="2689860"/>
            <wp:effectExtent l="0" t="0" r="0" b="0"/>
            <wp:docPr id="1"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756660" cy="2689860"/>
                    </a:xfrm>
                    <a:prstGeom prst="rect">
                      <a:avLst/>
                    </a:prstGeom>
                    <a:noFill/>
                    <a:ln>
                      <a:noFill/>
                    </a:ln>
                  </pic:spPr>
                </pic:pic>
              </a:graphicData>
            </a:graphic>
          </wp:inline>
        </w:drawing>
      </w:r>
    </w:p>
    <w:p w:rsidR="00F06791" w:rsidRDefault="00F06791" w:rsidP="00F06791">
      <w:pPr>
        <w:jc w:val="center"/>
        <w:rPr>
          <w:rFonts w:ascii="Arial" w:hAnsi="Arial" w:cs="Arial"/>
          <w:sz w:val="18"/>
          <w:szCs w:val="18"/>
        </w:rPr>
      </w:pPr>
    </w:p>
    <w:p w:rsidR="00F06791" w:rsidRDefault="00F06791" w:rsidP="00F06791">
      <w:pPr>
        <w:jc w:val="center"/>
        <w:rPr>
          <w:rFonts w:ascii="Arial" w:hAnsi="Arial" w:cs="Arial"/>
          <w:sz w:val="18"/>
          <w:szCs w:val="18"/>
        </w:rPr>
      </w:pPr>
      <w:r>
        <w:rPr>
          <w:rFonts w:ascii="Arial" w:hAnsi="Arial" w:cs="Arial"/>
          <w:sz w:val="18"/>
          <w:szCs w:val="18"/>
        </w:rPr>
        <w:t>Figura 6</w:t>
      </w:r>
    </w:p>
    <w:p w:rsidR="00F06791" w:rsidRDefault="00F06791" w:rsidP="00F06791">
      <w:pPr>
        <w:jc w:val="center"/>
        <w:rPr>
          <w:rFonts w:ascii="Arial" w:hAnsi="Arial" w:cs="Arial"/>
          <w:sz w:val="18"/>
          <w:szCs w:val="18"/>
        </w:rPr>
      </w:pPr>
    </w:p>
    <w:p w:rsidR="00F06791" w:rsidRDefault="00F06791" w:rsidP="00F06791">
      <w:pPr>
        <w:jc w:val="center"/>
        <w:rPr>
          <w:rFonts w:ascii="Arial" w:hAnsi="Arial" w:cs="Arial"/>
          <w:sz w:val="18"/>
          <w:szCs w:val="18"/>
        </w:rPr>
      </w:pPr>
    </w:p>
    <w:p w:rsidR="00F06791" w:rsidRPr="00F06791" w:rsidRDefault="00F06791" w:rsidP="00F06791">
      <w:pPr>
        <w:widowControl w:val="0"/>
        <w:ind w:right="74"/>
        <w:jc w:val="center"/>
        <w:rPr>
          <w:rFonts w:ascii="Arial" w:hAnsi="Arial" w:cs="Arial"/>
          <w:sz w:val="18"/>
          <w:szCs w:val="18"/>
          <w:lang w:val="af-ZA" w:eastAsia="af-ZA"/>
        </w:rPr>
      </w:pPr>
      <w:r w:rsidRPr="00F06791">
        <w:rPr>
          <w:rFonts w:ascii="Arial" w:hAnsi="Arial" w:cs="Arial"/>
          <w:sz w:val="18"/>
          <w:szCs w:val="18"/>
        </w:rPr>
        <w:t>Tabela 6 – Energia Firme do SIN – Modelo MSUI</w:t>
      </w:r>
    </w:p>
    <w:tbl>
      <w:tblPr>
        <w:tblW w:w="0" w:type="auto"/>
        <w:jc w:val="center"/>
        <w:tblBorders>
          <w:top w:val="double" w:sz="4" w:space="0" w:color="auto"/>
        </w:tblBorders>
        <w:tblLook w:val="01E0" w:firstRow="1" w:lastRow="1" w:firstColumn="1" w:lastColumn="1" w:noHBand="0" w:noVBand="0"/>
      </w:tblPr>
      <w:tblGrid>
        <w:gridCol w:w="1701"/>
        <w:gridCol w:w="2268"/>
      </w:tblGrid>
      <w:tr w:rsidR="00F06791" w:rsidRPr="00F06791" w:rsidTr="009637D7">
        <w:trPr>
          <w:jc w:val="center"/>
        </w:trPr>
        <w:tc>
          <w:tcPr>
            <w:tcW w:w="1701" w:type="dxa"/>
            <w:tcBorders>
              <w:top w:val="double" w:sz="4" w:space="0" w:color="auto"/>
              <w:bottom w:val="single" w:sz="2" w:space="0" w:color="auto"/>
              <w:right w:val="single" w:sz="2" w:space="0" w:color="auto"/>
            </w:tcBorders>
          </w:tcPr>
          <w:p w:rsidR="00F06791" w:rsidRPr="00F06791" w:rsidRDefault="00F06791" w:rsidP="009637D7">
            <w:pPr>
              <w:jc w:val="center"/>
              <w:rPr>
                <w:rFonts w:ascii="Arial" w:hAnsi="Arial" w:cs="Arial"/>
                <w:sz w:val="18"/>
                <w:szCs w:val="18"/>
              </w:rPr>
            </w:pPr>
            <w:r w:rsidRPr="00F06791">
              <w:rPr>
                <w:rFonts w:ascii="Arial" w:hAnsi="Arial" w:cs="Arial"/>
                <w:sz w:val="18"/>
                <w:szCs w:val="18"/>
              </w:rPr>
              <w:t>Período</w:t>
            </w:r>
          </w:p>
        </w:tc>
        <w:tc>
          <w:tcPr>
            <w:tcW w:w="2268" w:type="dxa"/>
            <w:tcBorders>
              <w:top w:val="double" w:sz="4" w:space="0" w:color="auto"/>
              <w:left w:val="single" w:sz="2" w:space="0" w:color="auto"/>
              <w:bottom w:val="single" w:sz="2" w:space="0" w:color="auto"/>
              <w:right w:val="single" w:sz="2" w:space="0" w:color="auto"/>
            </w:tcBorders>
          </w:tcPr>
          <w:p w:rsidR="00F06791" w:rsidRPr="00F06791" w:rsidRDefault="00F06791" w:rsidP="009637D7">
            <w:pPr>
              <w:jc w:val="center"/>
              <w:rPr>
                <w:rFonts w:ascii="Arial" w:hAnsi="Arial" w:cs="Arial"/>
                <w:sz w:val="18"/>
                <w:szCs w:val="18"/>
              </w:rPr>
            </w:pPr>
            <w:r w:rsidRPr="00F06791">
              <w:rPr>
                <w:rFonts w:ascii="Arial" w:hAnsi="Arial" w:cs="Arial"/>
                <w:sz w:val="18"/>
                <w:szCs w:val="18"/>
              </w:rPr>
              <w:t>EFS (MWa)</w:t>
            </w:r>
          </w:p>
        </w:tc>
      </w:tr>
      <w:tr w:rsidR="00F06791" w:rsidRPr="00F06791" w:rsidTr="009637D7">
        <w:trPr>
          <w:jc w:val="center"/>
        </w:trPr>
        <w:tc>
          <w:tcPr>
            <w:tcW w:w="1701" w:type="dxa"/>
            <w:tcBorders>
              <w:top w:val="single" w:sz="2" w:space="0" w:color="auto"/>
              <w:bottom w:val="single" w:sz="2" w:space="0" w:color="auto"/>
              <w:right w:val="single" w:sz="2" w:space="0" w:color="auto"/>
            </w:tcBorders>
          </w:tcPr>
          <w:p w:rsidR="00F06791" w:rsidRPr="00F06791" w:rsidRDefault="00F06791" w:rsidP="009637D7">
            <w:pPr>
              <w:jc w:val="center"/>
              <w:rPr>
                <w:rFonts w:ascii="Arial" w:hAnsi="Arial" w:cs="Arial"/>
                <w:sz w:val="18"/>
                <w:szCs w:val="18"/>
              </w:rPr>
            </w:pPr>
            <w:r w:rsidRPr="00F06791">
              <w:rPr>
                <w:rFonts w:ascii="Arial" w:hAnsi="Arial" w:cs="Arial"/>
                <w:sz w:val="18"/>
                <w:szCs w:val="18"/>
              </w:rPr>
              <w:t>5/1951 – 11/1955</w:t>
            </w:r>
          </w:p>
        </w:tc>
        <w:tc>
          <w:tcPr>
            <w:tcW w:w="2268" w:type="dxa"/>
            <w:tcBorders>
              <w:top w:val="single" w:sz="2" w:space="0" w:color="auto"/>
              <w:left w:val="single" w:sz="2" w:space="0" w:color="auto"/>
              <w:bottom w:val="single" w:sz="2" w:space="0" w:color="auto"/>
              <w:right w:val="single" w:sz="2" w:space="0" w:color="auto"/>
            </w:tcBorders>
          </w:tcPr>
          <w:p w:rsidR="00F06791" w:rsidRPr="00F06791" w:rsidRDefault="00F06791" w:rsidP="009637D7">
            <w:pPr>
              <w:jc w:val="center"/>
              <w:rPr>
                <w:rFonts w:ascii="Arial" w:hAnsi="Arial" w:cs="Arial"/>
                <w:sz w:val="18"/>
                <w:szCs w:val="18"/>
              </w:rPr>
            </w:pPr>
            <w:r w:rsidRPr="00F06791">
              <w:rPr>
                <w:rFonts w:ascii="Arial" w:hAnsi="Arial" w:cs="Arial"/>
                <w:sz w:val="18"/>
                <w:szCs w:val="18"/>
              </w:rPr>
              <w:t>50.613</w:t>
            </w:r>
          </w:p>
        </w:tc>
      </w:tr>
      <w:tr w:rsidR="00F06791" w:rsidRPr="00F06791" w:rsidTr="009637D7">
        <w:trPr>
          <w:jc w:val="center"/>
        </w:trPr>
        <w:tc>
          <w:tcPr>
            <w:tcW w:w="1701" w:type="dxa"/>
            <w:tcBorders>
              <w:top w:val="single" w:sz="2" w:space="0" w:color="auto"/>
              <w:bottom w:val="single" w:sz="2" w:space="0" w:color="auto"/>
              <w:right w:val="single" w:sz="2" w:space="0" w:color="auto"/>
            </w:tcBorders>
          </w:tcPr>
          <w:p w:rsidR="00F06791" w:rsidRPr="00F06791" w:rsidRDefault="00F06791" w:rsidP="009637D7">
            <w:pPr>
              <w:jc w:val="center"/>
              <w:rPr>
                <w:rFonts w:ascii="Arial" w:hAnsi="Arial" w:cs="Arial"/>
                <w:sz w:val="18"/>
                <w:szCs w:val="18"/>
              </w:rPr>
            </w:pPr>
            <w:r w:rsidRPr="00F06791">
              <w:rPr>
                <w:rFonts w:ascii="Arial" w:hAnsi="Arial" w:cs="Arial"/>
                <w:sz w:val="18"/>
                <w:szCs w:val="18"/>
              </w:rPr>
              <w:t>3/2012 – 11/2017</w:t>
            </w:r>
          </w:p>
        </w:tc>
        <w:tc>
          <w:tcPr>
            <w:tcW w:w="2268" w:type="dxa"/>
            <w:tcBorders>
              <w:top w:val="single" w:sz="2" w:space="0" w:color="auto"/>
              <w:left w:val="single" w:sz="2" w:space="0" w:color="auto"/>
              <w:bottom w:val="single" w:sz="2" w:space="0" w:color="auto"/>
              <w:right w:val="single" w:sz="2" w:space="0" w:color="auto"/>
            </w:tcBorders>
          </w:tcPr>
          <w:p w:rsidR="00F06791" w:rsidRPr="00F06791" w:rsidRDefault="00F06791" w:rsidP="009637D7">
            <w:pPr>
              <w:jc w:val="center"/>
              <w:rPr>
                <w:rFonts w:ascii="Arial" w:hAnsi="Arial" w:cs="Arial"/>
                <w:sz w:val="18"/>
                <w:szCs w:val="18"/>
              </w:rPr>
            </w:pPr>
            <w:r w:rsidRPr="00F06791">
              <w:rPr>
                <w:rFonts w:ascii="Arial" w:hAnsi="Arial" w:cs="Arial"/>
                <w:sz w:val="18"/>
                <w:szCs w:val="18"/>
              </w:rPr>
              <w:t>52.298</w:t>
            </w:r>
          </w:p>
        </w:tc>
      </w:tr>
    </w:tbl>
    <w:p w:rsidR="00F06791" w:rsidRDefault="00F06791" w:rsidP="00F06791">
      <w:pPr>
        <w:rPr>
          <w:rFonts w:ascii="Arial" w:hAnsi="Arial" w:cs="Arial"/>
          <w:sz w:val="18"/>
          <w:szCs w:val="18"/>
        </w:rPr>
      </w:pPr>
    </w:p>
    <w:p w:rsidR="00F06791" w:rsidRDefault="00D440D5" w:rsidP="00F06791">
      <w:pPr>
        <w:pStyle w:val="Ttulo1"/>
        <w:rPr>
          <w:sz w:val="18"/>
          <w:szCs w:val="18"/>
        </w:rPr>
      </w:pPr>
      <w:r>
        <w:rPr>
          <w:sz w:val="18"/>
          <w:szCs w:val="18"/>
        </w:rPr>
        <w:t>7</w:t>
      </w:r>
      <w:r w:rsidR="00F06791" w:rsidRPr="00F06791">
        <w:rPr>
          <w:sz w:val="18"/>
          <w:szCs w:val="18"/>
        </w:rPr>
        <w:t xml:space="preserve"> Taxa de Desconto</w:t>
      </w:r>
    </w:p>
    <w:p w:rsidR="00F06791" w:rsidRPr="001F63C4" w:rsidRDefault="00F06791" w:rsidP="000B0C5A">
      <w:pPr>
        <w:spacing w:line="360" w:lineRule="auto"/>
        <w:jc w:val="both"/>
        <w:rPr>
          <w:rFonts w:ascii="Arial" w:hAnsi="Arial" w:cs="Arial"/>
          <w:sz w:val="18"/>
          <w:szCs w:val="18"/>
        </w:rPr>
      </w:pPr>
      <w:r w:rsidRPr="00F06791">
        <w:rPr>
          <w:rFonts w:ascii="Arial" w:hAnsi="Arial" w:cs="Arial"/>
          <w:sz w:val="18"/>
          <w:szCs w:val="18"/>
          <w:lang w:eastAsia="af-ZA"/>
        </w:rPr>
        <w:t>A intervenção estatal, que por um grande tempo dominou o setor de infraestrutura, não se preocupou com a questão da taxa de desconto. Na IEEB, pode-se verificar sua influência em vários segmentos. Nas concessionárias de distribuição e transmissão, está relacionada ao Custo Médio Ponderado de Capital a ser utilizado no ciclo de revisões periódicas. Nos planejamentos de operação e expansão, destaca-se sua influência nos CMOs com rebatimentos no Preço de Liquidação de Diferenças (PLDs) na garantia física e no Índice Custo Benefício (ICB) das termoelétricas. Além disso, no PEGEE, a taxa de desconto é utilizada no dimensionamento energético-econômico de UHEs. A falta de uma diretriz fez com que esse parâmetro apresentasse valores baixos cuja referência pode ter sido pela tarifa baseada no custo de serviço (remuneração anual de 10% a 12%) ou pelo Código de Águas de 1934 (remuneração mínima legal de 10% a.a.). O fato é que merece uma atenção especial do CNPE, uma vez que este parâmetro entra na otimização energética nos estudos da EPE, do ONS e do CCEE. Fica claro que as taxas de desconto têm que ser diferentes para cada estudo. Por fim, talvez haja um dilema, pelo menos filosófico, relacionado a otimização energética centralizada. A competição entre geradores traz uma ideia de que a taxa de desconto deve ser aquela dada pelo mercado enquanto que a intervenção no mercado realizada pela de curva de aversão ao risco e, por outro lado, a neutralidade ao risco proveniente da programação dinâmica estocástica sinaliza uma aproximação para uma taxa livre de risco. O que fazer?</w:t>
      </w:r>
    </w:p>
    <w:p w:rsidR="00D440D5" w:rsidRDefault="00D440D5" w:rsidP="00D440D5">
      <w:pPr>
        <w:pStyle w:val="Ttulo1"/>
        <w:rPr>
          <w:sz w:val="18"/>
          <w:szCs w:val="18"/>
        </w:rPr>
      </w:pPr>
      <w:r>
        <w:rPr>
          <w:sz w:val="18"/>
          <w:szCs w:val="18"/>
        </w:rPr>
        <w:t>8</w:t>
      </w:r>
      <w:r w:rsidRPr="00F06791">
        <w:rPr>
          <w:sz w:val="18"/>
          <w:szCs w:val="18"/>
        </w:rPr>
        <w:t xml:space="preserve"> </w:t>
      </w:r>
      <w:r>
        <w:rPr>
          <w:sz w:val="18"/>
          <w:szCs w:val="18"/>
        </w:rPr>
        <w:t>Modelos Energ</w:t>
      </w:r>
      <w:r w:rsidR="0099725C">
        <w:rPr>
          <w:sz w:val="18"/>
          <w:szCs w:val="18"/>
        </w:rPr>
        <w:t>éticos</w:t>
      </w:r>
    </w:p>
    <w:p w:rsidR="0099725C" w:rsidRDefault="0099725C" w:rsidP="000B0C5A">
      <w:pPr>
        <w:spacing w:line="360" w:lineRule="auto"/>
        <w:jc w:val="both"/>
        <w:rPr>
          <w:rFonts w:ascii="Arial" w:hAnsi="Arial" w:cs="Arial"/>
          <w:sz w:val="18"/>
          <w:szCs w:val="18"/>
          <w:lang w:eastAsia="af-ZA"/>
        </w:rPr>
      </w:pPr>
      <w:r w:rsidRPr="0099725C">
        <w:rPr>
          <w:rFonts w:ascii="Arial" w:hAnsi="Arial" w:cs="Arial"/>
          <w:sz w:val="18"/>
          <w:szCs w:val="18"/>
          <w:lang w:eastAsia="af-ZA"/>
        </w:rPr>
        <w:t xml:space="preserve">Seguramente, o ferramental computacional utilizado atualmente é um dos mais avançados do mundo. É claro que, por ser uma representação da realidade, alguns resultados trazidos do mundo simbólico não se adequam </w:t>
      </w:r>
      <w:r w:rsidRPr="0099725C">
        <w:rPr>
          <w:rFonts w:ascii="Arial" w:hAnsi="Arial" w:cs="Arial"/>
          <w:sz w:val="18"/>
          <w:szCs w:val="18"/>
          <w:lang w:eastAsia="af-ZA"/>
        </w:rPr>
        <w:lastRenderedPageBreak/>
        <w:t>ao que acontece no mundo real. Para isso, é necessária a existência de modelos alternativos que aumentem a robustez do processo (</w:t>
      </w:r>
      <w:r w:rsidR="000B0C5A">
        <w:rPr>
          <w:rFonts w:ascii="Arial" w:hAnsi="Arial" w:cs="Arial"/>
          <w:sz w:val="18"/>
          <w:szCs w:val="18"/>
          <w:lang w:eastAsia="af-ZA"/>
        </w:rPr>
        <w:t>34</w:t>
      </w:r>
      <w:r w:rsidRPr="0099725C">
        <w:rPr>
          <w:rFonts w:ascii="Arial" w:hAnsi="Arial" w:cs="Arial"/>
          <w:sz w:val="18"/>
          <w:szCs w:val="18"/>
          <w:lang w:eastAsia="af-ZA"/>
        </w:rPr>
        <w:t>). Isto tem sido visto a partir de melhorias, por um lado, dos modelos de referência desenvolvidos pelo Cepel, seja por programação estocástica dual com sistemas agregados (Newave), seja com modelo individualizado (Suishi), bem como atenção ao detalhamento e na qualidade dos dados físico-operativos. Por outro lado, existem contribuições importantes originados de ambientes privado (PSR) e acadêmico (USP, Unicamp PUC-RJ e UFJF). Em ambos os casos, existe a preocupação de prover o usuário de uma arquitetura amigável e tentar associar a capacidade científica com a visão empresarial. Verificam-se inovações técnicas nas áreas de séries temporais (eg. distribuição gama), otimização (eg. técnica de fechos convexos), etc.. Algumas questões operacionais e estratégicas já estão ou serão implementadas nos modelos energéticos. Pode-se destacar: inserção de série de energia afluente eólica dada a transformação para um Sistema Hidrotérmico-Eólico;  entrada de um parque eólico de grande porte ensejará, por um lado, a importância do binômio energia-potência que por muito tempo eram tratados de maneiras distintas pelas áreas de planejamento da geração (potência é uma consequência da energia) e da transmissão (potência instantânea); por outro lado, haverá o retorno de modelos de confiabilidade e com isso a necessidade de uma reformulação no critério de suprimento de ponta; importância da repotenciação como segurança energética de possíveis instabilidades provocadas por fontes intermitentes de energia; otimização integrada gás-eletricidade diante da forte inserção de UTEs a gás natural e que, possivelmente, necessitará de um operador nacional de gás natural; substituição da simulação por programação dinâmica determinística nos estudos de dimensionamento energético-econômico de UHEs; rateio de bloco hidráulico por meio de jogos cooperativos.</w:t>
      </w:r>
    </w:p>
    <w:p w:rsidR="0099725C" w:rsidRPr="00AA36FF" w:rsidRDefault="0099725C" w:rsidP="00AA36FF">
      <w:pPr>
        <w:pStyle w:val="Ttulo1"/>
        <w:rPr>
          <w:sz w:val="18"/>
          <w:szCs w:val="18"/>
        </w:rPr>
      </w:pPr>
      <w:r w:rsidRPr="00AA36FF">
        <w:rPr>
          <w:sz w:val="18"/>
          <w:szCs w:val="18"/>
          <w:lang w:eastAsia="af-ZA"/>
        </w:rPr>
        <w:t>9 Conclusões</w:t>
      </w:r>
    </w:p>
    <w:p w:rsidR="0099725C" w:rsidRDefault="0099725C" w:rsidP="0099725C"/>
    <w:p w:rsidR="0099725C" w:rsidRPr="00AA36FF" w:rsidRDefault="00AA36FF" w:rsidP="00AA36FF">
      <w:pPr>
        <w:jc w:val="both"/>
        <w:rPr>
          <w:rFonts w:ascii="Verdana" w:hAnsi="Verdana"/>
          <w:sz w:val="18"/>
          <w:szCs w:val="18"/>
        </w:rPr>
      </w:pPr>
      <w:r w:rsidRPr="00AA36FF">
        <w:rPr>
          <w:rFonts w:ascii="Verdana" w:hAnsi="Verdana"/>
          <w:sz w:val="18"/>
          <w:szCs w:val="18"/>
        </w:rPr>
        <w:t>Conforme comentado o agente planejador terá a função típica de um arquiteto de escolhas. Dentro desse novo contexto deverá desenvolver, com o apoio do Comitê Permanente para Análise de Metodologias e Programas Computacionais do Setor Elétrico (CPAMP)</w:t>
      </w:r>
      <w:r>
        <w:rPr>
          <w:rFonts w:ascii="Verdana" w:hAnsi="Verdana"/>
          <w:sz w:val="18"/>
          <w:szCs w:val="18"/>
        </w:rPr>
        <w:t xml:space="preserve">. O presente IT de despertar nos componentes do grupo de trabalho que tão importante de utilizar novas métricas de risco é verificar se ensinamentos do passado podem auxiliar </w:t>
      </w:r>
      <w:r w:rsidR="006E53D4">
        <w:rPr>
          <w:rFonts w:ascii="Verdana" w:hAnsi="Verdana"/>
          <w:sz w:val="18"/>
          <w:szCs w:val="18"/>
        </w:rPr>
        <w:t>na tomada de decisões numa cadeia não linear que será a futura IEEB.</w:t>
      </w:r>
    </w:p>
    <w:p w:rsidR="00F174B5" w:rsidRPr="001B6B6E" w:rsidRDefault="00557299" w:rsidP="00DA698F">
      <w:pPr>
        <w:pStyle w:val="Ttulo1"/>
        <w:rPr>
          <w:sz w:val="18"/>
          <w:szCs w:val="18"/>
        </w:rPr>
      </w:pPr>
      <w:bookmarkStart w:id="9" w:name="_Toc192868791"/>
      <w:bookmarkStart w:id="10" w:name="_Toc192868851"/>
      <w:bookmarkStart w:id="11" w:name="_Toc192937638"/>
      <w:bookmarkEnd w:id="6"/>
      <w:bookmarkEnd w:id="7"/>
      <w:bookmarkEnd w:id="8"/>
      <w:r>
        <w:rPr>
          <w:sz w:val="18"/>
          <w:szCs w:val="18"/>
        </w:rPr>
        <w:t>10</w:t>
      </w:r>
      <w:bookmarkEnd w:id="9"/>
      <w:bookmarkEnd w:id="10"/>
      <w:bookmarkEnd w:id="11"/>
      <w:r w:rsidR="00452728">
        <w:rPr>
          <w:sz w:val="18"/>
          <w:szCs w:val="18"/>
        </w:rPr>
        <w:t xml:space="preserve"> Referê</w:t>
      </w:r>
      <w:bookmarkStart w:id="12" w:name="_GoBack"/>
      <w:bookmarkEnd w:id="12"/>
      <w:r w:rsidR="00452728">
        <w:rPr>
          <w:sz w:val="18"/>
          <w:szCs w:val="18"/>
        </w:rPr>
        <w:t>ncias Bibliográficas</w:t>
      </w:r>
    </w:p>
    <w:p w:rsidR="00F174B5" w:rsidRDefault="00F174B5" w:rsidP="00CB5487">
      <w:pPr>
        <w:rPr>
          <w:sz w:val="22"/>
          <w:szCs w:val="22"/>
        </w:rPr>
      </w:pPr>
    </w:p>
    <w:p w:rsidR="00873309" w:rsidRPr="00E128F0" w:rsidRDefault="0040435F" w:rsidP="00336BFC">
      <w:pPr>
        <w:pStyle w:val="PargrafodaLista"/>
        <w:numPr>
          <w:ilvl w:val="0"/>
          <w:numId w:val="22"/>
        </w:numPr>
        <w:ind w:left="0" w:firstLine="0"/>
        <w:rPr>
          <w:rFonts w:ascii="Arial" w:hAnsi="Arial" w:cs="Arial"/>
          <w:sz w:val="18"/>
          <w:szCs w:val="18"/>
          <w:lang w:eastAsia="ja-JP"/>
        </w:rPr>
      </w:pPr>
      <w:r w:rsidRPr="00E128F0">
        <w:rPr>
          <w:rFonts w:ascii="Arial" w:hAnsi="Arial" w:cs="Arial"/>
          <w:color w:val="000000"/>
          <w:sz w:val="18"/>
          <w:szCs w:val="18"/>
        </w:rPr>
        <w:t>F</w:t>
      </w:r>
      <w:r w:rsidR="00CF440C" w:rsidRPr="00E128F0">
        <w:rPr>
          <w:rFonts w:ascii="Arial" w:hAnsi="Arial" w:cs="Arial"/>
          <w:color w:val="000000"/>
          <w:sz w:val="18"/>
          <w:szCs w:val="18"/>
        </w:rPr>
        <w:t>rank</w:t>
      </w:r>
      <w:r w:rsidRPr="00E128F0">
        <w:rPr>
          <w:rFonts w:ascii="Arial" w:hAnsi="Arial" w:cs="Arial"/>
          <w:color w:val="000000"/>
          <w:sz w:val="18"/>
          <w:szCs w:val="18"/>
        </w:rPr>
        <w:t xml:space="preserve">, R.H. </w:t>
      </w:r>
      <w:r w:rsidRPr="00E128F0">
        <w:rPr>
          <w:rFonts w:ascii="Arial" w:hAnsi="Arial" w:cs="Arial"/>
          <w:b/>
          <w:sz w:val="18"/>
          <w:szCs w:val="18"/>
          <w:lang w:eastAsia="ja-JP"/>
        </w:rPr>
        <w:t>Microeconomia e Comportamento</w:t>
      </w:r>
      <w:r w:rsidRPr="00E128F0">
        <w:rPr>
          <w:rFonts w:ascii="Arial" w:hAnsi="Arial" w:cs="Arial"/>
          <w:sz w:val="18"/>
          <w:szCs w:val="18"/>
          <w:lang w:eastAsia="ja-JP"/>
        </w:rPr>
        <w:t>. Porto Alegre: AMGH, 2013, 8 ed.</w:t>
      </w:r>
    </w:p>
    <w:p w:rsidR="00CF440C" w:rsidRPr="00E128F0" w:rsidRDefault="00CF440C" w:rsidP="00CF440C">
      <w:pPr>
        <w:pStyle w:val="PargrafodaLista"/>
        <w:ind w:left="0"/>
        <w:rPr>
          <w:rFonts w:ascii="Arial" w:hAnsi="Arial" w:cs="Arial"/>
          <w:sz w:val="18"/>
          <w:szCs w:val="18"/>
          <w:lang w:eastAsia="ja-JP"/>
        </w:rPr>
      </w:pPr>
    </w:p>
    <w:p w:rsidR="00336BFC" w:rsidRPr="00E128F0" w:rsidRDefault="00054145" w:rsidP="00336BFC">
      <w:pPr>
        <w:pStyle w:val="PargrafodaLista"/>
        <w:numPr>
          <w:ilvl w:val="0"/>
          <w:numId w:val="22"/>
        </w:numPr>
        <w:ind w:left="0" w:firstLine="0"/>
        <w:jc w:val="both"/>
        <w:rPr>
          <w:rFonts w:ascii="Arial" w:hAnsi="Arial" w:cs="Arial"/>
          <w:sz w:val="18"/>
          <w:szCs w:val="18"/>
        </w:rPr>
      </w:pPr>
      <w:r>
        <w:rPr>
          <w:rFonts w:ascii="Arial" w:hAnsi="Arial" w:cs="Arial"/>
          <w:sz w:val="18"/>
          <w:szCs w:val="18"/>
        </w:rPr>
        <w:t xml:space="preserve">Eletrobrás. </w:t>
      </w:r>
      <w:r w:rsidR="00336BFC" w:rsidRPr="00E128F0">
        <w:rPr>
          <w:rFonts w:ascii="Arial" w:hAnsi="Arial" w:cs="Arial"/>
          <w:b/>
          <w:sz w:val="18"/>
          <w:szCs w:val="18"/>
        </w:rPr>
        <w:t>O Planejamento da Expansão do Setor de Energia Elétrica: a atuação da Eletrobrás e do Grupo Coordenador do Planejamento dos Sistemas Elétricos: entrevistas</w:t>
      </w:r>
      <w:r w:rsidR="00336BFC" w:rsidRPr="00E128F0">
        <w:rPr>
          <w:rFonts w:ascii="Arial" w:hAnsi="Arial" w:cs="Arial"/>
          <w:sz w:val="18"/>
          <w:szCs w:val="18"/>
        </w:rPr>
        <w:t xml:space="preserve"> – Rio de Janeiro: Centro da Memória da Eletricidade no Brasil. 2001.</w:t>
      </w:r>
    </w:p>
    <w:p w:rsidR="00CF440C" w:rsidRPr="00E128F0" w:rsidRDefault="00CF440C" w:rsidP="00CF440C">
      <w:pPr>
        <w:pStyle w:val="PargrafodaLista"/>
        <w:rPr>
          <w:rFonts w:ascii="Arial" w:hAnsi="Arial" w:cs="Arial"/>
          <w:sz w:val="18"/>
          <w:szCs w:val="18"/>
        </w:rPr>
      </w:pPr>
    </w:p>
    <w:p w:rsidR="00CF440C" w:rsidRPr="00E128F0" w:rsidRDefault="00CF440C" w:rsidP="00336BFC">
      <w:pPr>
        <w:pStyle w:val="PargrafodaLista"/>
        <w:numPr>
          <w:ilvl w:val="0"/>
          <w:numId w:val="22"/>
        </w:numPr>
        <w:ind w:left="0" w:firstLine="0"/>
        <w:jc w:val="both"/>
        <w:rPr>
          <w:rFonts w:ascii="Arial" w:hAnsi="Arial" w:cs="Arial"/>
          <w:sz w:val="18"/>
          <w:szCs w:val="18"/>
        </w:rPr>
      </w:pPr>
      <w:r w:rsidRPr="00E128F0">
        <w:rPr>
          <w:rFonts w:ascii="Arial" w:hAnsi="Arial" w:cs="Arial"/>
          <w:sz w:val="18"/>
          <w:szCs w:val="18"/>
          <w:lang w:val="en-US" w:eastAsia="ja-JP"/>
        </w:rPr>
        <w:t xml:space="preserve">Thaler, R.H. &amp; Sunstein, C.R. </w:t>
      </w:r>
      <w:r w:rsidRPr="00E128F0">
        <w:rPr>
          <w:rFonts w:ascii="Arial" w:hAnsi="Arial" w:cs="Arial"/>
          <w:b/>
          <w:sz w:val="18"/>
          <w:szCs w:val="18"/>
          <w:lang w:val="en-US" w:eastAsia="ja-JP"/>
        </w:rPr>
        <w:t>Nudge: O empurrão para a escolha certa.</w:t>
      </w:r>
      <w:r w:rsidRPr="00E128F0">
        <w:rPr>
          <w:rFonts w:ascii="Arial" w:hAnsi="Arial" w:cs="Arial"/>
          <w:sz w:val="18"/>
          <w:szCs w:val="18"/>
          <w:lang w:val="en-US" w:eastAsia="ja-JP"/>
        </w:rPr>
        <w:t xml:space="preserve"> Rio de Janeiro: Elsevier, 2009.</w:t>
      </w:r>
    </w:p>
    <w:p w:rsidR="00E128F0" w:rsidRPr="00E128F0" w:rsidRDefault="00E128F0" w:rsidP="00E128F0">
      <w:pPr>
        <w:pStyle w:val="PargrafodaLista"/>
        <w:rPr>
          <w:sz w:val="22"/>
          <w:szCs w:val="22"/>
        </w:rPr>
      </w:pPr>
    </w:p>
    <w:p w:rsidR="00E128F0" w:rsidRDefault="00E128F0" w:rsidP="00336BFC">
      <w:pPr>
        <w:pStyle w:val="PargrafodaLista"/>
        <w:numPr>
          <w:ilvl w:val="0"/>
          <w:numId w:val="22"/>
        </w:numPr>
        <w:ind w:left="0" w:firstLine="0"/>
        <w:jc w:val="both"/>
        <w:rPr>
          <w:rFonts w:ascii="Arial" w:hAnsi="Arial" w:cs="Arial"/>
          <w:sz w:val="18"/>
          <w:szCs w:val="18"/>
        </w:rPr>
      </w:pPr>
      <w:r>
        <w:rPr>
          <w:rFonts w:ascii="Arial" w:hAnsi="Arial" w:cs="Arial"/>
          <w:sz w:val="18"/>
          <w:szCs w:val="18"/>
        </w:rPr>
        <w:t>Barros, L.A.; Flach,B. &amp; Bezerra</w:t>
      </w:r>
      <w:r w:rsidR="00054145">
        <w:rPr>
          <w:rFonts w:ascii="Arial" w:hAnsi="Arial" w:cs="Arial"/>
          <w:sz w:val="18"/>
          <w:szCs w:val="18"/>
        </w:rPr>
        <w:t xml:space="preserve">,B. </w:t>
      </w:r>
      <w:r w:rsidRPr="00E128F0">
        <w:rPr>
          <w:rFonts w:ascii="Arial" w:hAnsi="Arial" w:cs="Arial"/>
          <w:b/>
          <w:sz w:val="18"/>
          <w:szCs w:val="18"/>
        </w:rPr>
        <w:t>Mecanismos de Mercado para Viabilizar a Suficiência e Eficiência na Expansão da Oferta e Garantir o Suprimento de Eletricidade na Segunda “Onda” de Reformas nos Mercados da América Latina</w:t>
      </w:r>
      <w:r w:rsidRPr="00E128F0">
        <w:rPr>
          <w:rFonts w:ascii="Arial" w:hAnsi="Arial" w:cs="Arial"/>
          <w:sz w:val="18"/>
          <w:szCs w:val="18"/>
        </w:rPr>
        <w:t>. In: Mercados e Regulação de Energia Elétrica. Org. Eduardo Nery. Rio de janeiro: Interciência, 2012.</w:t>
      </w:r>
    </w:p>
    <w:p w:rsidR="00054145" w:rsidRPr="00054145" w:rsidRDefault="00054145" w:rsidP="00054145">
      <w:pPr>
        <w:pStyle w:val="PargrafodaLista"/>
        <w:rPr>
          <w:rFonts w:ascii="Arial" w:hAnsi="Arial" w:cs="Arial"/>
          <w:sz w:val="18"/>
          <w:szCs w:val="18"/>
        </w:rPr>
      </w:pPr>
    </w:p>
    <w:p w:rsidR="00054145" w:rsidRDefault="00054145" w:rsidP="00336BFC">
      <w:pPr>
        <w:pStyle w:val="PargrafodaLista"/>
        <w:numPr>
          <w:ilvl w:val="0"/>
          <w:numId w:val="22"/>
        </w:numPr>
        <w:ind w:left="0" w:firstLine="0"/>
        <w:jc w:val="both"/>
        <w:rPr>
          <w:rFonts w:ascii="Arial" w:hAnsi="Arial" w:cs="Arial"/>
          <w:sz w:val="18"/>
          <w:szCs w:val="18"/>
        </w:rPr>
      </w:pPr>
      <w:r>
        <w:rPr>
          <w:rFonts w:ascii="Arial" w:hAnsi="Arial" w:cs="Arial"/>
          <w:sz w:val="18"/>
          <w:szCs w:val="18"/>
        </w:rPr>
        <w:t xml:space="preserve">Grupo Coordenador do Planejamento do Sistema – GCPS. </w:t>
      </w:r>
      <w:r w:rsidRPr="001B6B6E">
        <w:rPr>
          <w:rFonts w:ascii="Arial" w:hAnsi="Arial" w:cs="Arial"/>
          <w:b/>
          <w:sz w:val="18"/>
          <w:szCs w:val="18"/>
        </w:rPr>
        <w:t>Avaliação Energética Estática. Comitê Técnico de Estudos Energéticos</w:t>
      </w:r>
      <w:r w:rsidR="001B6B6E">
        <w:rPr>
          <w:rFonts w:ascii="Arial" w:hAnsi="Arial" w:cs="Arial"/>
          <w:b/>
          <w:sz w:val="18"/>
          <w:szCs w:val="18"/>
        </w:rPr>
        <w:t>.</w:t>
      </w:r>
      <w:r>
        <w:rPr>
          <w:rFonts w:ascii="Arial" w:hAnsi="Arial" w:cs="Arial"/>
          <w:sz w:val="18"/>
          <w:szCs w:val="18"/>
        </w:rPr>
        <w:t xml:space="preserve"> Grupo de Trabalho para Estudos de Critérios de Planejamento Energético. GTPE. 11/1982.</w:t>
      </w:r>
    </w:p>
    <w:p w:rsidR="00054145" w:rsidRPr="00054145" w:rsidRDefault="00054145" w:rsidP="00054145">
      <w:pPr>
        <w:pStyle w:val="PargrafodaLista"/>
        <w:rPr>
          <w:rFonts w:ascii="Arial" w:hAnsi="Arial" w:cs="Arial"/>
          <w:sz w:val="18"/>
          <w:szCs w:val="18"/>
        </w:rPr>
      </w:pPr>
    </w:p>
    <w:p w:rsidR="00054145" w:rsidRDefault="00054145" w:rsidP="00336BFC">
      <w:pPr>
        <w:pStyle w:val="PargrafodaLista"/>
        <w:numPr>
          <w:ilvl w:val="0"/>
          <w:numId w:val="22"/>
        </w:numPr>
        <w:ind w:left="0" w:firstLine="0"/>
        <w:jc w:val="both"/>
        <w:rPr>
          <w:rFonts w:ascii="Arial" w:hAnsi="Arial" w:cs="Arial"/>
          <w:sz w:val="18"/>
          <w:szCs w:val="18"/>
        </w:rPr>
      </w:pPr>
      <w:r w:rsidRPr="00054145">
        <w:rPr>
          <w:rFonts w:ascii="Arial" w:hAnsi="Arial" w:cs="Arial"/>
          <w:sz w:val="18"/>
          <w:szCs w:val="18"/>
        </w:rPr>
        <w:lastRenderedPageBreak/>
        <w:t xml:space="preserve">Kelman, J.  </w:t>
      </w:r>
      <w:r w:rsidRPr="00054145">
        <w:rPr>
          <w:rFonts w:ascii="Arial" w:hAnsi="Arial" w:cs="Arial"/>
          <w:b/>
          <w:sz w:val="18"/>
          <w:szCs w:val="18"/>
        </w:rPr>
        <w:t>Metodologia de Cálculo de Energia Firme de Sistemas Hidrelétricos Levando em Consideração Usos Múltiplos da Água</w:t>
      </w:r>
      <w:r w:rsidRPr="00054145">
        <w:rPr>
          <w:rFonts w:ascii="Arial" w:hAnsi="Arial" w:cs="Arial"/>
          <w:sz w:val="18"/>
          <w:szCs w:val="18"/>
        </w:rPr>
        <w:t>. Agência Nacional de Águas. 29/11/2002.</w:t>
      </w:r>
    </w:p>
    <w:p w:rsidR="00054145" w:rsidRPr="00054145" w:rsidRDefault="00054145" w:rsidP="00054145">
      <w:pPr>
        <w:pStyle w:val="PargrafodaLista"/>
        <w:rPr>
          <w:rFonts w:ascii="Arial" w:hAnsi="Arial" w:cs="Arial"/>
          <w:sz w:val="18"/>
          <w:szCs w:val="18"/>
        </w:rPr>
      </w:pPr>
    </w:p>
    <w:p w:rsidR="00054145" w:rsidRPr="009B46B2" w:rsidRDefault="00054145" w:rsidP="00336BFC">
      <w:pPr>
        <w:pStyle w:val="PargrafodaLista"/>
        <w:numPr>
          <w:ilvl w:val="0"/>
          <w:numId w:val="22"/>
        </w:numPr>
        <w:ind w:left="0" w:firstLine="0"/>
        <w:jc w:val="both"/>
        <w:rPr>
          <w:rFonts w:ascii="Arial" w:hAnsi="Arial" w:cs="Arial"/>
          <w:sz w:val="18"/>
          <w:szCs w:val="18"/>
        </w:rPr>
      </w:pPr>
      <w:r w:rsidRPr="00054145">
        <w:rPr>
          <w:rFonts w:ascii="Arial" w:hAnsi="Arial" w:cs="Arial"/>
          <w:sz w:val="18"/>
          <w:szCs w:val="18"/>
          <w:lang w:val="en-US" w:eastAsia="ja-JP"/>
        </w:rPr>
        <w:t xml:space="preserve">Fortunato, L.A.M., Araripe Neto, T.A., Albuquerque, J.C.R., Pereira, M.V.F. </w:t>
      </w:r>
      <w:r w:rsidRPr="00054145">
        <w:rPr>
          <w:rFonts w:ascii="Arial" w:hAnsi="Arial" w:cs="Arial"/>
          <w:b/>
          <w:sz w:val="18"/>
          <w:szCs w:val="18"/>
          <w:lang w:val="en-US" w:eastAsia="ja-JP"/>
        </w:rPr>
        <w:t>Introdução ao Planejamento da Expansão e Operação de Sistemas de Produçao de Energia Elétrica</w:t>
      </w:r>
      <w:r w:rsidRPr="00054145">
        <w:rPr>
          <w:rFonts w:ascii="Arial" w:hAnsi="Arial" w:cs="Arial"/>
          <w:sz w:val="18"/>
          <w:szCs w:val="18"/>
          <w:lang w:val="en-US" w:eastAsia="ja-JP"/>
        </w:rPr>
        <w:t>. Niterói: EDUFF, 1990.</w:t>
      </w:r>
    </w:p>
    <w:p w:rsidR="009B46B2" w:rsidRPr="009B46B2" w:rsidRDefault="009B46B2" w:rsidP="009B46B2">
      <w:pPr>
        <w:pStyle w:val="PargrafodaLista"/>
        <w:rPr>
          <w:rFonts w:ascii="Arial" w:hAnsi="Arial" w:cs="Arial"/>
          <w:sz w:val="18"/>
          <w:szCs w:val="18"/>
        </w:rPr>
      </w:pPr>
    </w:p>
    <w:p w:rsidR="009B46B2" w:rsidRDefault="00763F27" w:rsidP="00336BFC">
      <w:pPr>
        <w:pStyle w:val="PargrafodaLista"/>
        <w:numPr>
          <w:ilvl w:val="0"/>
          <w:numId w:val="22"/>
        </w:numPr>
        <w:ind w:left="0" w:firstLine="0"/>
        <w:jc w:val="both"/>
        <w:rPr>
          <w:rFonts w:ascii="Arial" w:hAnsi="Arial" w:cs="Arial"/>
          <w:sz w:val="18"/>
          <w:szCs w:val="18"/>
        </w:rPr>
      </w:pPr>
      <w:r>
        <w:rPr>
          <w:rFonts w:ascii="Arial" w:hAnsi="Arial" w:cs="Arial"/>
          <w:sz w:val="18"/>
          <w:szCs w:val="18"/>
        </w:rPr>
        <w:t xml:space="preserve">Fill, H.D. </w:t>
      </w:r>
      <w:r w:rsidRPr="00763F27">
        <w:rPr>
          <w:rFonts w:ascii="Arial" w:hAnsi="Arial" w:cs="Arial"/>
          <w:b/>
          <w:sz w:val="18"/>
          <w:szCs w:val="18"/>
        </w:rPr>
        <w:t>Curso sobre Aproveitamentos Hidrelétricos: Estudos Energéticos</w:t>
      </w:r>
      <w:r>
        <w:rPr>
          <w:rFonts w:ascii="Arial" w:hAnsi="Arial" w:cs="Arial"/>
          <w:sz w:val="18"/>
          <w:szCs w:val="18"/>
        </w:rPr>
        <w:t>. Centro de Pesquisas de Hidráulica e Hidrologia-CEHPAR. Universidade Federal do Paraná. s/data</w:t>
      </w:r>
      <w:r w:rsidR="00430C81">
        <w:rPr>
          <w:rFonts w:ascii="Arial" w:hAnsi="Arial" w:cs="Arial"/>
          <w:sz w:val="18"/>
          <w:szCs w:val="18"/>
        </w:rPr>
        <w:t>.</w:t>
      </w:r>
    </w:p>
    <w:p w:rsidR="007D6FBC" w:rsidRPr="007D6FBC" w:rsidRDefault="007D6FBC" w:rsidP="007D6FBC">
      <w:pPr>
        <w:pStyle w:val="PargrafodaLista"/>
        <w:rPr>
          <w:rFonts w:ascii="Arial" w:hAnsi="Arial" w:cs="Arial"/>
          <w:sz w:val="18"/>
          <w:szCs w:val="18"/>
        </w:rPr>
      </w:pPr>
    </w:p>
    <w:p w:rsidR="007D6FBC" w:rsidRDefault="007D6FBC" w:rsidP="007D6FBC">
      <w:pPr>
        <w:pStyle w:val="PargrafodaLista"/>
        <w:numPr>
          <w:ilvl w:val="0"/>
          <w:numId w:val="22"/>
        </w:numPr>
        <w:autoSpaceDE w:val="0"/>
        <w:autoSpaceDN w:val="0"/>
        <w:adjustRightInd w:val="0"/>
        <w:ind w:left="0" w:firstLine="0"/>
        <w:rPr>
          <w:rFonts w:ascii="Arial" w:hAnsi="Arial" w:cs="Arial"/>
          <w:sz w:val="18"/>
          <w:szCs w:val="18"/>
        </w:rPr>
      </w:pPr>
      <w:r w:rsidRPr="007D6FBC">
        <w:rPr>
          <w:rFonts w:ascii="Arial" w:hAnsi="Arial" w:cs="Arial"/>
          <w:sz w:val="18"/>
          <w:szCs w:val="18"/>
        </w:rPr>
        <w:t>C</w:t>
      </w:r>
      <w:r w:rsidR="00FC57D3" w:rsidRPr="007D6FBC">
        <w:rPr>
          <w:rFonts w:ascii="Arial" w:hAnsi="Arial" w:cs="Arial"/>
          <w:sz w:val="18"/>
          <w:szCs w:val="18"/>
        </w:rPr>
        <w:t>arvalho</w:t>
      </w:r>
      <w:r w:rsidRPr="007D6FBC">
        <w:rPr>
          <w:rFonts w:ascii="Arial" w:hAnsi="Arial" w:cs="Arial"/>
          <w:sz w:val="18"/>
          <w:szCs w:val="18"/>
        </w:rPr>
        <w:t>,M.A.P; R</w:t>
      </w:r>
      <w:r w:rsidR="00FC57D3" w:rsidRPr="007D6FBC">
        <w:rPr>
          <w:rFonts w:ascii="Arial" w:hAnsi="Arial" w:cs="Arial"/>
          <w:sz w:val="18"/>
          <w:szCs w:val="18"/>
        </w:rPr>
        <w:t>osemblatt</w:t>
      </w:r>
      <w:r w:rsidRPr="007D6FBC">
        <w:rPr>
          <w:rFonts w:ascii="Arial" w:hAnsi="Arial" w:cs="Arial"/>
          <w:sz w:val="18"/>
          <w:szCs w:val="18"/>
        </w:rPr>
        <w:t>,J. &amp; P</w:t>
      </w:r>
      <w:r w:rsidR="00FC57D3" w:rsidRPr="007D6FBC">
        <w:rPr>
          <w:rFonts w:ascii="Arial" w:hAnsi="Arial" w:cs="Arial"/>
          <w:sz w:val="18"/>
          <w:szCs w:val="18"/>
        </w:rPr>
        <w:t>inheiro</w:t>
      </w:r>
      <w:r w:rsidR="00FC57D3">
        <w:rPr>
          <w:rFonts w:ascii="Arial" w:hAnsi="Arial" w:cs="Arial"/>
          <w:sz w:val="18"/>
          <w:szCs w:val="18"/>
        </w:rPr>
        <w:t xml:space="preserve">,S.A. </w:t>
      </w:r>
      <w:r w:rsidRPr="00FC57D3">
        <w:rPr>
          <w:rFonts w:ascii="Arial" w:hAnsi="Arial" w:cs="Arial"/>
          <w:b/>
          <w:sz w:val="18"/>
          <w:szCs w:val="18"/>
        </w:rPr>
        <w:t>Evolução do Nível de Garantia de Suprimento. Eletrobras. Departamento de Estudos Energéticos</w:t>
      </w:r>
      <w:r w:rsidRPr="007D6FBC">
        <w:rPr>
          <w:rFonts w:ascii="Arial" w:hAnsi="Arial" w:cs="Arial"/>
          <w:sz w:val="18"/>
          <w:szCs w:val="18"/>
        </w:rPr>
        <w:t>. Nota Técnica n</w:t>
      </w:r>
      <w:r w:rsidRPr="007D6FBC">
        <w:rPr>
          <w:rFonts w:ascii="Arial" w:hAnsi="Arial" w:cs="Arial"/>
          <w:sz w:val="18"/>
          <w:szCs w:val="18"/>
          <w:u w:val="single"/>
          <w:vertAlign w:val="superscript"/>
        </w:rPr>
        <w:t>o</w:t>
      </w:r>
      <w:r w:rsidRPr="007D6FBC">
        <w:rPr>
          <w:rFonts w:ascii="Arial" w:hAnsi="Arial" w:cs="Arial"/>
          <w:sz w:val="18"/>
          <w:szCs w:val="18"/>
        </w:rPr>
        <w:t xml:space="preserve"> 25/80.</w:t>
      </w:r>
    </w:p>
    <w:p w:rsidR="007D6FBC" w:rsidRPr="007D6FBC" w:rsidRDefault="007D6FBC" w:rsidP="007D6FBC">
      <w:pPr>
        <w:pStyle w:val="PargrafodaLista"/>
        <w:rPr>
          <w:rFonts w:ascii="Arial" w:hAnsi="Arial" w:cs="Arial"/>
          <w:sz w:val="18"/>
          <w:szCs w:val="18"/>
        </w:rPr>
      </w:pPr>
    </w:p>
    <w:p w:rsidR="007D6FBC" w:rsidRPr="00FC57D3" w:rsidRDefault="00FC57D3" w:rsidP="00336BFC">
      <w:pPr>
        <w:pStyle w:val="PargrafodaLista"/>
        <w:numPr>
          <w:ilvl w:val="0"/>
          <w:numId w:val="22"/>
        </w:numPr>
        <w:ind w:left="0" w:firstLine="0"/>
        <w:jc w:val="both"/>
        <w:rPr>
          <w:rFonts w:ascii="Arial" w:hAnsi="Arial" w:cs="Arial"/>
          <w:sz w:val="18"/>
          <w:szCs w:val="18"/>
        </w:rPr>
      </w:pPr>
      <w:r>
        <w:rPr>
          <w:rFonts w:ascii="Arial" w:hAnsi="Arial" w:cs="Arial"/>
          <w:sz w:val="18"/>
          <w:szCs w:val="18"/>
        </w:rPr>
        <w:t xml:space="preserve">_____________________________________ </w:t>
      </w:r>
      <w:r w:rsidRPr="00FC57D3">
        <w:rPr>
          <w:rFonts w:ascii="Arial" w:hAnsi="Arial" w:cs="Arial"/>
          <w:b/>
          <w:sz w:val="18"/>
          <w:szCs w:val="18"/>
        </w:rPr>
        <w:t>Critérios de Garantia de Suprimento para a Produção de Energia Elétrica</w:t>
      </w:r>
      <w:r w:rsidRPr="00FC57D3">
        <w:rPr>
          <w:rFonts w:ascii="Arial" w:hAnsi="Arial" w:cs="Arial"/>
          <w:sz w:val="18"/>
          <w:szCs w:val="18"/>
        </w:rPr>
        <w:t>. VI Seminário de Produção e Transmissão de Energia Elétrica. Camboriú. 1981.</w:t>
      </w:r>
    </w:p>
    <w:p w:rsidR="00430C81" w:rsidRPr="00430C81" w:rsidRDefault="00430C81" w:rsidP="00430C81">
      <w:pPr>
        <w:pStyle w:val="PargrafodaLista"/>
        <w:rPr>
          <w:rFonts w:ascii="Arial" w:hAnsi="Arial" w:cs="Arial"/>
          <w:sz w:val="18"/>
          <w:szCs w:val="18"/>
        </w:rPr>
      </w:pPr>
    </w:p>
    <w:p w:rsidR="00430C81" w:rsidRDefault="00430C81" w:rsidP="00336BFC">
      <w:pPr>
        <w:pStyle w:val="PargrafodaLista"/>
        <w:numPr>
          <w:ilvl w:val="0"/>
          <w:numId w:val="22"/>
        </w:numPr>
        <w:ind w:left="0" w:firstLine="0"/>
        <w:jc w:val="both"/>
        <w:rPr>
          <w:rFonts w:ascii="Arial" w:hAnsi="Arial" w:cs="Arial"/>
          <w:sz w:val="18"/>
          <w:szCs w:val="18"/>
        </w:rPr>
      </w:pPr>
      <w:r w:rsidRPr="00430C81">
        <w:rPr>
          <w:rFonts w:ascii="Arial" w:hAnsi="Arial" w:cs="Arial"/>
          <w:sz w:val="18"/>
          <w:szCs w:val="18"/>
        </w:rPr>
        <w:t>R</w:t>
      </w:r>
      <w:r w:rsidR="00FC57D3" w:rsidRPr="00430C81">
        <w:rPr>
          <w:rFonts w:ascii="Arial" w:hAnsi="Arial" w:cs="Arial"/>
          <w:sz w:val="18"/>
          <w:szCs w:val="18"/>
        </w:rPr>
        <w:t>osenblatt</w:t>
      </w:r>
      <w:r w:rsidR="00FC57D3">
        <w:rPr>
          <w:rFonts w:ascii="Arial" w:hAnsi="Arial" w:cs="Arial"/>
          <w:sz w:val="18"/>
          <w:szCs w:val="18"/>
        </w:rPr>
        <w:t xml:space="preserve">, J. </w:t>
      </w:r>
      <w:r w:rsidRPr="00430C81">
        <w:rPr>
          <w:rFonts w:ascii="Arial" w:hAnsi="Arial" w:cs="Arial"/>
          <w:b/>
          <w:sz w:val="18"/>
          <w:szCs w:val="18"/>
        </w:rPr>
        <w:t>Utilização da Energia Garantida como Critério para o Planejamento da Expansão</w:t>
      </w:r>
      <w:r w:rsidRPr="00430C81">
        <w:rPr>
          <w:rFonts w:ascii="Arial" w:hAnsi="Arial" w:cs="Arial"/>
          <w:sz w:val="18"/>
          <w:szCs w:val="18"/>
        </w:rPr>
        <w:t>. Eletrobras. Informação Técnica n</w:t>
      </w:r>
      <w:r w:rsidRPr="00430C81">
        <w:rPr>
          <w:rFonts w:ascii="Arial" w:hAnsi="Arial" w:cs="Arial"/>
          <w:sz w:val="18"/>
          <w:szCs w:val="18"/>
          <w:u w:val="single"/>
          <w:vertAlign w:val="superscript"/>
        </w:rPr>
        <w:t>o</w:t>
      </w:r>
      <w:r w:rsidRPr="00430C81">
        <w:rPr>
          <w:rFonts w:ascii="Arial" w:hAnsi="Arial" w:cs="Arial"/>
          <w:sz w:val="18"/>
          <w:szCs w:val="18"/>
        </w:rPr>
        <w:t xml:space="preserve"> 46/85. DEGE/DVPG.</w:t>
      </w:r>
    </w:p>
    <w:p w:rsidR="00FC57D3" w:rsidRPr="00FC57D3" w:rsidRDefault="00FC57D3" w:rsidP="00FC57D3">
      <w:pPr>
        <w:pStyle w:val="PargrafodaLista"/>
        <w:rPr>
          <w:rFonts w:ascii="Arial" w:hAnsi="Arial" w:cs="Arial"/>
          <w:sz w:val="18"/>
          <w:szCs w:val="18"/>
        </w:rPr>
      </w:pPr>
    </w:p>
    <w:p w:rsidR="00FC57D3" w:rsidRDefault="00FC57D3" w:rsidP="00336BFC">
      <w:pPr>
        <w:pStyle w:val="PargrafodaLista"/>
        <w:numPr>
          <w:ilvl w:val="0"/>
          <w:numId w:val="22"/>
        </w:numPr>
        <w:ind w:left="0" w:firstLine="0"/>
        <w:jc w:val="both"/>
        <w:rPr>
          <w:rFonts w:ascii="Arial" w:hAnsi="Arial" w:cs="Arial"/>
          <w:sz w:val="18"/>
          <w:szCs w:val="18"/>
        </w:rPr>
      </w:pPr>
      <w:r>
        <w:rPr>
          <w:rFonts w:ascii="Arial" w:hAnsi="Arial" w:cs="Arial"/>
          <w:sz w:val="18"/>
          <w:szCs w:val="18"/>
        </w:rPr>
        <w:t xml:space="preserve">Sub-Grupo Misto GCPS-GCOI. </w:t>
      </w:r>
      <w:r w:rsidRPr="00FC57D3">
        <w:rPr>
          <w:rFonts w:ascii="Arial" w:hAnsi="Arial" w:cs="Arial"/>
          <w:b/>
          <w:sz w:val="18"/>
          <w:szCs w:val="18"/>
        </w:rPr>
        <w:t>Estabelecimento de Critérios Probabilísticos de Suprimentos de Energia Elétrica e sua Aplicação</w:t>
      </w:r>
      <w:r>
        <w:rPr>
          <w:rFonts w:ascii="Arial" w:hAnsi="Arial" w:cs="Arial"/>
          <w:sz w:val="18"/>
          <w:szCs w:val="18"/>
        </w:rPr>
        <w:t>. 1984.</w:t>
      </w:r>
    </w:p>
    <w:p w:rsidR="00F50E08" w:rsidRPr="00F50E08" w:rsidRDefault="00F50E08" w:rsidP="00F50E08">
      <w:pPr>
        <w:pStyle w:val="PargrafodaLista"/>
        <w:rPr>
          <w:rFonts w:ascii="Arial" w:hAnsi="Arial" w:cs="Arial"/>
          <w:sz w:val="18"/>
          <w:szCs w:val="18"/>
        </w:rPr>
      </w:pPr>
    </w:p>
    <w:p w:rsidR="00F50E08" w:rsidRDefault="00F50E08" w:rsidP="00336BFC">
      <w:pPr>
        <w:pStyle w:val="PargrafodaLista"/>
        <w:numPr>
          <w:ilvl w:val="0"/>
          <w:numId w:val="22"/>
        </w:numPr>
        <w:ind w:left="0" w:firstLine="0"/>
        <w:jc w:val="both"/>
        <w:rPr>
          <w:rFonts w:ascii="Arial" w:hAnsi="Arial" w:cs="Arial"/>
          <w:sz w:val="18"/>
          <w:szCs w:val="18"/>
        </w:rPr>
      </w:pPr>
      <w:r>
        <w:rPr>
          <w:rFonts w:ascii="Arial" w:hAnsi="Arial" w:cs="Arial"/>
          <w:sz w:val="18"/>
          <w:szCs w:val="18"/>
        </w:rPr>
        <w:t>Grupo Coordenador do Planejamento de Sistemas Elétricos</w:t>
      </w:r>
      <w:r w:rsidR="00FA4441">
        <w:rPr>
          <w:rFonts w:ascii="Arial" w:hAnsi="Arial" w:cs="Arial"/>
          <w:sz w:val="18"/>
          <w:szCs w:val="18"/>
        </w:rPr>
        <w:t xml:space="preserve"> - GCPS</w:t>
      </w:r>
      <w:r>
        <w:rPr>
          <w:rFonts w:ascii="Arial" w:hAnsi="Arial" w:cs="Arial"/>
          <w:sz w:val="18"/>
          <w:szCs w:val="18"/>
        </w:rPr>
        <w:t xml:space="preserve">. </w:t>
      </w:r>
      <w:r w:rsidRPr="00FA4441">
        <w:rPr>
          <w:rFonts w:ascii="Arial" w:hAnsi="Arial" w:cs="Arial"/>
          <w:b/>
          <w:sz w:val="18"/>
          <w:szCs w:val="18"/>
        </w:rPr>
        <w:t>Adoção de Critérios Provisórios para Garantia de Suprimento e Rateio de Energia e da Potência</w:t>
      </w:r>
      <w:r>
        <w:rPr>
          <w:rFonts w:ascii="Arial" w:hAnsi="Arial" w:cs="Arial"/>
          <w:sz w:val="18"/>
          <w:szCs w:val="18"/>
        </w:rPr>
        <w:t>. Rio de Jaaneiro. Junho de 1989.</w:t>
      </w:r>
    </w:p>
    <w:p w:rsidR="00FA4441" w:rsidRPr="00FA4441" w:rsidRDefault="00FA4441" w:rsidP="00FA4441">
      <w:pPr>
        <w:pStyle w:val="PargrafodaLista"/>
        <w:rPr>
          <w:rFonts w:ascii="Arial" w:hAnsi="Arial" w:cs="Arial"/>
          <w:sz w:val="18"/>
          <w:szCs w:val="18"/>
        </w:rPr>
      </w:pPr>
    </w:p>
    <w:p w:rsidR="00FA4441" w:rsidRDefault="00FA4441" w:rsidP="00336BFC">
      <w:pPr>
        <w:pStyle w:val="PargrafodaLista"/>
        <w:numPr>
          <w:ilvl w:val="0"/>
          <w:numId w:val="22"/>
        </w:numPr>
        <w:ind w:left="0" w:firstLine="0"/>
        <w:jc w:val="both"/>
        <w:rPr>
          <w:rFonts w:ascii="Arial" w:hAnsi="Arial" w:cs="Arial"/>
          <w:sz w:val="18"/>
          <w:szCs w:val="18"/>
        </w:rPr>
      </w:pPr>
      <w:r>
        <w:rPr>
          <w:rFonts w:ascii="Arial" w:hAnsi="Arial" w:cs="Arial"/>
          <w:sz w:val="18"/>
          <w:szCs w:val="18"/>
        </w:rPr>
        <w:t xml:space="preserve">Grupo Coordenador para Operação Interligada – GCOI. </w:t>
      </w:r>
      <w:r w:rsidRPr="004C471E">
        <w:rPr>
          <w:rFonts w:ascii="Arial" w:hAnsi="Arial" w:cs="Arial"/>
          <w:b/>
          <w:sz w:val="18"/>
          <w:szCs w:val="18"/>
        </w:rPr>
        <w:t>Metodologia para o Cáclculo de Disponibilidades e Suprimentos de Energia e Potência</w:t>
      </w:r>
      <w:r w:rsidR="004C471E" w:rsidRPr="004C471E">
        <w:rPr>
          <w:rFonts w:ascii="Arial" w:hAnsi="Arial" w:cs="Arial"/>
          <w:b/>
          <w:sz w:val="18"/>
          <w:szCs w:val="18"/>
        </w:rPr>
        <w:t xml:space="preserve"> no Plano de Operação para 1989</w:t>
      </w:r>
      <w:r w:rsidR="004C471E">
        <w:rPr>
          <w:rFonts w:ascii="Arial" w:hAnsi="Arial" w:cs="Arial"/>
          <w:sz w:val="18"/>
          <w:szCs w:val="18"/>
        </w:rPr>
        <w:t>. SCEN-GTMC-04/1988. Dezembro/1988.</w:t>
      </w:r>
    </w:p>
    <w:p w:rsidR="003F5CDC" w:rsidRPr="003F5CDC" w:rsidRDefault="003F5CDC" w:rsidP="003F5CDC">
      <w:pPr>
        <w:pStyle w:val="PargrafodaLista"/>
        <w:rPr>
          <w:rFonts w:ascii="Arial" w:hAnsi="Arial" w:cs="Arial"/>
          <w:sz w:val="18"/>
          <w:szCs w:val="18"/>
        </w:rPr>
      </w:pPr>
    </w:p>
    <w:p w:rsidR="003F5CDC" w:rsidRDefault="009F28E9" w:rsidP="00336BFC">
      <w:pPr>
        <w:pStyle w:val="PargrafodaLista"/>
        <w:numPr>
          <w:ilvl w:val="0"/>
          <w:numId w:val="22"/>
        </w:numPr>
        <w:ind w:left="0" w:firstLine="0"/>
        <w:jc w:val="both"/>
        <w:rPr>
          <w:rFonts w:ascii="Arial" w:hAnsi="Arial" w:cs="Arial"/>
          <w:sz w:val="18"/>
          <w:szCs w:val="18"/>
        </w:rPr>
      </w:pPr>
      <w:r w:rsidRPr="007D6FBC">
        <w:rPr>
          <w:rFonts w:ascii="Arial" w:hAnsi="Arial" w:cs="Arial"/>
          <w:sz w:val="18"/>
          <w:szCs w:val="18"/>
        </w:rPr>
        <w:t>Carvalho</w:t>
      </w:r>
      <w:r>
        <w:rPr>
          <w:rFonts w:ascii="Arial" w:hAnsi="Arial" w:cs="Arial"/>
          <w:sz w:val="18"/>
          <w:szCs w:val="18"/>
        </w:rPr>
        <w:t>,M.A.P &amp;</w:t>
      </w:r>
      <w:r w:rsidRPr="007D6FBC">
        <w:rPr>
          <w:rFonts w:ascii="Arial" w:hAnsi="Arial" w:cs="Arial"/>
          <w:sz w:val="18"/>
          <w:szCs w:val="18"/>
        </w:rPr>
        <w:t xml:space="preserve"> Rosemblatt</w:t>
      </w:r>
      <w:r>
        <w:rPr>
          <w:rFonts w:ascii="Arial" w:hAnsi="Arial" w:cs="Arial"/>
          <w:sz w:val="18"/>
          <w:szCs w:val="18"/>
        </w:rPr>
        <w:t xml:space="preserve">,J.. </w:t>
      </w:r>
      <w:r>
        <w:rPr>
          <w:rFonts w:ascii="Arial" w:hAnsi="Arial" w:cs="Arial"/>
          <w:b/>
          <w:sz w:val="18"/>
          <w:szCs w:val="18"/>
        </w:rPr>
        <w:t>Cálculo de Custos Marginais de Operação e Benefícios Marginais de Capacidade de Intercâmbio para Subsistemas Equivalentes</w:t>
      </w:r>
      <w:r w:rsidRPr="007D6FBC">
        <w:rPr>
          <w:rFonts w:ascii="Arial" w:hAnsi="Arial" w:cs="Arial"/>
          <w:sz w:val="18"/>
          <w:szCs w:val="18"/>
        </w:rPr>
        <w:t xml:space="preserve">. </w:t>
      </w:r>
      <w:r>
        <w:rPr>
          <w:rFonts w:ascii="Arial" w:hAnsi="Arial" w:cs="Arial"/>
          <w:sz w:val="18"/>
          <w:szCs w:val="18"/>
        </w:rPr>
        <w:t xml:space="preserve">Eletrobras. Diretoria de Planejamento e Engenharia. DEGE/DVPG. </w:t>
      </w:r>
      <w:r w:rsidRPr="007D6FBC">
        <w:rPr>
          <w:rFonts w:ascii="Arial" w:hAnsi="Arial" w:cs="Arial"/>
          <w:sz w:val="18"/>
          <w:szCs w:val="18"/>
        </w:rPr>
        <w:t>Nota Técnica n</w:t>
      </w:r>
      <w:r w:rsidRPr="007D6FBC">
        <w:rPr>
          <w:rFonts w:ascii="Arial" w:hAnsi="Arial" w:cs="Arial"/>
          <w:sz w:val="18"/>
          <w:szCs w:val="18"/>
          <w:u w:val="single"/>
          <w:vertAlign w:val="superscript"/>
        </w:rPr>
        <w:t>o</w:t>
      </w:r>
      <w:r>
        <w:rPr>
          <w:rFonts w:ascii="Arial" w:hAnsi="Arial" w:cs="Arial"/>
          <w:sz w:val="18"/>
          <w:szCs w:val="18"/>
        </w:rPr>
        <w:t xml:space="preserve"> 01/86</w:t>
      </w:r>
      <w:r w:rsidRPr="007D6FBC">
        <w:rPr>
          <w:rFonts w:ascii="Arial" w:hAnsi="Arial" w:cs="Arial"/>
          <w:sz w:val="18"/>
          <w:szCs w:val="18"/>
        </w:rPr>
        <w:t>.</w:t>
      </w:r>
    </w:p>
    <w:p w:rsidR="00B8412B" w:rsidRPr="00B8412B" w:rsidRDefault="00B8412B" w:rsidP="00B8412B">
      <w:pPr>
        <w:pStyle w:val="PargrafodaLista"/>
        <w:rPr>
          <w:rFonts w:ascii="Arial" w:hAnsi="Arial" w:cs="Arial"/>
          <w:sz w:val="18"/>
          <w:szCs w:val="18"/>
        </w:rPr>
      </w:pPr>
    </w:p>
    <w:p w:rsidR="00B8412B" w:rsidRPr="00B8412B" w:rsidRDefault="00B8412B" w:rsidP="00336BFC">
      <w:pPr>
        <w:pStyle w:val="PargrafodaLista"/>
        <w:numPr>
          <w:ilvl w:val="0"/>
          <w:numId w:val="22"/>
        </w:numPr>
        <w:ind w:left="0" w:firstLine="0"/>
        <w:jc w:val="both"/>
        <w:rPr>
          <w:rFonts w:ascii="Arial" w:hAnsi="Arial" w:cs="Arial"/>
          <w:sz w:val="18"/>
          <w:szCs w:val="18"/>
        </w:rPr>
      </w:pPr>
      <w:r w:rsidRPr="00B8412B">
        <w:rPr>
          <w:rFonts w:ascii="Arial" w:hAnsi="Arial" w:cs="Arial"/>
          <w:sz w:val="18"/>
          <w:szCs w:val="18"/>
        </w:rPr>
        <w:t xml:space="preserve">Sureck, M.A.A. </w:t>
      </w:r>
      <w:r w:rsidRPr="00B8412B">
        <w:rPr>
          <w:rFonts w:ascii="Arial" w:hAnsi="Arial" w:cs="Arial"/>
          <w:b/>
          <w:sz w:val="18"/>
          <w:szCs w:val="18"/>
        </w:rPr>
        <w:t>Critérios para Cálculo de Disponibilidade de Geração de Usinas Hidrelétricas e Termelétricas</w:t>
      </w:r>
      <w:r w:rsidRPr="00B8412B">
        <w:rPr>
          <w:rFonts w:ascii="Arial" w:hAnsi="Arial" w:cs="Arial"/>
          <w:sz w:val="18"/>
          <w:szCs w:val="18"/>
        </w:rPr>
        <w:t>. Centrais Geradoras do Sul do Brasil S.A. 05/1998.</w:t>
      </w:r>
    </w:p>
    <w:p w:rsidR="00B8412B" w:rsidRPr="00B8412B" w:rsidRDefault="00B8412B" w:rsidP="00B8412B">
      <w:pPr>
        <w:pStyle w:val="PargrafodaLista"/>
        <w:rPr>
          <w:rFonts w:ascii="Arial" w:hAnsi="Arial" w:cs="Arial"/>
          <w:sz w:val="18"/>
          <w:szCs w:val="18"/>
        </w:rPr>
      </w:pPr>
    </w:p>
    <w:p w:rsidR="00B8412B" w:rsidRDefault="00B8412B" w:rsidP="00336BFC">
      <w:pPr>
        <w:pStyle w:val="PargrafodaLista"/>
        <w:numPr>
          <w:ilvl w:val="0"/>
          <w:numId w:val="22"/>
        </w:numPr>
        <w:ind w:left="0" w:firstLine="0"/>
        <w:jc w:val="both"/>
        <w:rPr>
          <w:rFonts w:ascii="Arial" w:hAnsi="Arial" w:cs="Arial"/>
          <w:sz w:val="18"/>
          <w:szCs w:val="18"/>
        </w:rPr>
      </w:pPr>
      <w:r>
        <w:rPr>
          <w:rFonts w:ascii="Arial" w:hAnsi="Arial" w:cs="Arial"/>
          <w:sz w:val="18"/>
          <w:szCs w:val="18"/>
        </w:rPr>
        <w:t xml:space="preserve">Eletrobras-DOE. </w:t>
      </w:r>
      <w:r w:rsidRPr="00B8412B">
        <w:rPr>
          <w:rFonts w:ascii="Arial" w:hAnsi="Arial" w:cs="Arial"/>
          <w:b/>
          <w:sz w:val="18"/>
          <w:szCs w:val="18"/>
        </w:rPr>
        <w:t>Cálculo das Energias e Potências Asseguradas dos Aproveitamentos Hidroelétricos para o Período apóes 2002</w:t>
      </w:r>
      <w:r>
        <w:rPr>
          <w:rFonts w:ascii="Arial" w:hAnsi="Arial" w:cs="Arial"/>
          <w:sz w:val="18"/>
          <w:szCs w:val="18"/>
        </w:rPr>
        <w:t xml:space="preserve">. Preliminar. Maio de 1998. </w:t>
      </w:r>
    </w:p>
    <w:p w:rsidR="00B05A3D" w:rsidRPr="00B05A3D" w:rsidRDefault="00B05A3D" w:rsidP="00B05A3D">
      <w:pPr>
        <w:pStyle w:val="PargrafodaLista"/>
        <w:rPr>
          <w:rFonts w:ascii="Arial" w:hAnsi="Arial" w:cs="Arial"/>
          <w:sz w:val="18"/>
          <w:szCs w:val="18"/>
        </w:rPr>
      </w:pPr>
    </w:p>
    <w:p w:rsidR="00B05A3D" w:rsidRDefault="00B05A3D" w:rsidP="00336BFC">
      <w:pPr>
        <w:pStyle w:val="PargrafodaLista"/>
        <w:numPr>
          <w:ilvl w:val="0"/>
          <w:numId w:val="22"/>
        </w:numPr>
        <w:ind w:left="0" w:firstLine="0"/>
        <w:jc w:val="both"/>
        <w:rPr>
          <w:rFonts w:ascii="Arial" w:hAnsi="Arial" w:cs="Arial"/>
          <w:sz w:val="18"/>
          <w:szCs w:val="18"/>
        </w:rPr>
      </w:pPr>
      <w:r>
        <w:rPr>
          <w:rFonts w:ascii="Arial" w:hAnsi="Arial" w:cs="Arial"/>
          <w:sz w:val="18"/>
          <w:szCs w:val="18"/>
        </w:rPr>
        <w:t xml:space="preserve">Rosemblatt,J.; Prais, M.; Pinto de Almeida, J.R. </w:t>
      </w:r>
      <w:r w:rsidRPr="00B05A3D">
        <w:rPr>
          <w:rFonts w:ascii="Arial" w:hAnsi="Arial" w:cs="Arial"/>
          <w:b/>
          <w:sz w:val="18"/>
          <w:szCs w:val="18"/>
        </w:rPr>
        <w:t>Avaliação de Critérios de Planejamento da Expansão. Eletrobras</w:t>
      </w:r>
      <w:r>
        <w:rPr>
          <w:rFonts w:ascii="Arial" w:hAnsi="Arial" w:cs="Arial"/>
          <w:sz w:val="18"/>
          <w:szCs w:val="18"/>
        </w:rPr>
        <w:t>. Diretoria de Planejamento. DPE – 014/98.</w:t>
      </w:r>
    </w:p>
    <w:p w:rsidR="00B05A3D" w:rsidRPr="00B05A3D" w:rsidRDefault="00B05A3D" w:rsidP="00B05A3D">
      <w:pPr>
        <w:pStyle w:val="PargrafodaLista"/>
        <w:rPr>
          <w:rFonts w:ascii="Arial" w:hAnsi="Arial" w:cs="Arial"/>
          <w:sz w:val="18"/>
          <w:szCs w:val="18"/>
        </w:rPr>
      </w:pPr>
    </w:p>
    <w:p w:rsidR="00B05A3D" w:rsidRDefault="00B05A3D" w:rsidP="00336BFC">
      <w:pPr>
        <w:pStyle w:val="PargrafodaLista"/>
        <w:numPr>
          <w:ilvl w:val="0"/>
          <w:numId w:val="22"/>
        </w:numPr>
        <w:ind w:left="0" w:firstLine="0"/>
        <w:jc w:val="both"/>
        <w:rPr>
          <w:rFonts w:ascii="Arial" w:hAnsi="Arial" w:cs="Arial"/>
          <w:sz w:val="18"/>
          <w:szCs w:val="18"/>
        </w:rPr>
      </w:pPr>
      <w:r>
        <w:rPr>
          <w:rFonts w:ascii="Arial" w:hAnsi="Arial" w:cs="Arial"/>
          <w:sz w:val="18"/>
          <w:szCs w:val="18"/>
        </w:rPr>
        <w:t xml:space="preserve">Grupo Coordenador para Operação Interligada – GCOI. </w:t>
      </w:r>
      <w:r w:rsidRPr="004C471E">
        <w:rPr>
          <w:rFonts w:ascii="Arial" w:hAnsi="Arial" w:cs="Arial"/>
          <w:b/>
          <w:sz w:val="18"/>
          <w:szCs w:val="18"/>
        </w:rPr>
        <w:t xml:space="preserve">Metodologia </w:t>
      </w:r>
      <w:r>
        <w:rPr>
          <w:rFonts w:ascii="Arial" w:hAnsi="Arial" w:cs="Arial"/>
          <w:b/>
          <w:sz w:val="18"/>
          <w:szCs w:val="18"/>
        </w:rPr>
        <w:t>e Critérios para o Planejamento da Expansão da Geração</w:t>
      </w:r>
      <w:r>
        <w:rPr>
          <w:rFonts w:ascii="Arial" w:hAnsi="Arial" w:cs="Arial"/>
          <w:sz w:val="18"/>
          <w:szCs w:val="18"/>
        </w:rPr>
        <w:t>. PT-CTEE-01/98. 09/10/1998.</w:t>
      </w:r>
    </w:p>
    <w:p w:rsidR="00B8412B" w:rsidRPr="00B8412B" w:rsidRDefault="00B8412B" w:rsidP="00B8412B">
      <w:pPr>
        <w:pStyle w:val="PargrafodaLista"/>
        <w:rPr>
          <w:rFonts w:ascii="Arial" w:hAnsi="Arial" w:cs="Arial"/>
          <w:sz w:val="18"/>
          <w:szCs w:val="18"/>
        </w:rPr>
      </w:pPr>
    </w:p>
    <w:p w:rsidR="00B8412B" w:rsidRDefault="00B8412B" w:rsidP="00336BFC">
      <w:pPr>
        <w:pStyle w:val="PargrafodaLista"/>
        <w:numPr>
          <w:ilvl w:val="0"/>
          <w:numId w:val="22"/>
        </w:numPr>
        <w:ind w:left="0" w:firstLine="0"/>
        <w:jc w:val="both"/>
        <w:rPr>
          <w:rFonts w:ascii="Arial" w:hAnsi="Arial" w:cs="Arial"/>
          <w:sz w:val="18"/>
          <w:szCs w:val="18"/>
        </w:rPr>
      </w:pPr>
      <w:r>
        <w:rPr>
          <w:rFonts w:ascii="Arial" w:hAnsi="Arial" w:cs="Arial"/>
          <w:sz w:val="18"/>
          <w:szCs w:val="18"/>
        </w:rPr>
        <w:t xml:space="preserve">Rosemblatt,J. &amp; Ferreira, T.P. </w:t>
      </w:r>
      <w:r w:rsidRPr="00B05A3D">
        <w:rPr>
          <w:rFonts w:ascii="Arial" w:hAnsi="Arial" w:cs="Arial"/>
          <w:b/>
          <w:sz w:val="18"/>
          <w:szCs w:val="18"/>
        </w:rPr>
        <w:t>Avaliação de Critérios de Planejamento da Expansão</w:t>
      </w:r>
      <w:r>
        <w:rPr>
          <w:rFonts w:ascii="Arial" w:hAnsi="Arial" w:cs="Arial"/>
          <w:b/>
          <w:sz w:val="18"/>
          <w:szCs w:val="18"/>
        </w:rPr>
        <w:t xml:space="preserve"> da Geração – Etapa Dinâmica</w:t>
      </w:r>
      <w:r w:rsidRPr="00B05A3D">
        <w:rPr>
          <w:rFonts w:ascii="Arial" w:hAnsi="Arial" w:cs="Arial"/>
          <w:b/>
          <w:sz w:val="18"/>
          <w:szCs w:val="18"/>
        </w:rPr>
        <w:t>. Eletrobras</w:t>
      </w:r>
      <w:r>
        <w:rPr>
          <w:rFonts w:ascii="Arial" w:hAnsi="Arial" w:cs="Arial"/>
          <w:sz w:val="18"/>
          <w:szCs w:val="18"/>
        </w:rPr>
        <w:t>. Diretoria de Planejamento. DPE – 014/98.</w:t>
      </w:r>
    </w:p>
    <w:p w:rsidR="00D611A8" w:rsidRPr="00D611A8" w:rsidRDefault="00D611A8" w:rsidP="00D611A8">
      <w:pPr>
        <w:pStyle w:val="PargrafodaLista"/>
        <w:rPr>
          <w:rFonts w:ascii="Arial" w:hAnsi="Arial" w:cs="Arial"/>
          <w:sz w:val="18"/>
          <w:szCs w:val="18"/>
        </w:rPr>
      </w:pPr>
    </w:p>
    <w:p w:rsidR="00D611A8" w:rsidRDefault="00D611A8" w:rsidP="00336BFC">
      <w:pPr>
        <w:pStyle w:val="PargrafodaLista"/>
        <w:numPr>
          <w:ilvl w:val="0"/>
          <w:numId w:val="22"/>
        </w:numPr>
        <w:ind w:left="0" w:firstLine="0"/>
        <w:jc w:val="both"/>
        <w:rPr>
          <w:rFonts w:ascii="Arial" w:hAnsi="Arial" w:cs="Arial"/>
          <w:sz w:val="18"/>
          <w:szCs w:val="18"/>
        </w:rPr>
      </w:pPr>
      <w:r>
        <w:rPr>
          <w:rFonts w:ascii="Arial" w:hAnsi="Arial" w:cs="Arial"/>
          <w:sz w:val="18"/>
          <w:szCs w:val="18"/>
        </w:rPr>
        <w:t xml:space="preserve">Energia Brasil – Departamento Nacional de Política Energética. </w:t>
      </w:r>
      <w:r w:rsidRPr="00000050">
        <w:rPr>
          <w:rFonts w:ascii="Arial" w:hAnsi="Arial" w:cs="Arial"/>
          <w:b/>
          <w:sz w:val="18"/>
          <w:szCs w:val="18"/>
        </w:rPr>
        <w:t>Avaliação da Metodologia de Cáluco de Energia Assegurada de Usinas Hidrelétricas</w:t>
      </w:r>
      <w:r>
        <w:rPr>
          <w:rFonts w:ascii="Arial" w:hAnsi="Arial" w:cs="Arial"/>
          <w:sz w:val="18"/>
          <w:szCs w:val="18"/>
        </w:rPr>
        <w:t>. Relatório Técnico</w:t>
      </w:r>
      <w:r w:rsidR="00000050">
        <w:rPr>
          <w:rFonts w:ascii="Arial" w:hAnsi="Arial" w:cs="Arial"/>
          <w:sz w:val="18"/>
          <w:szCs w:val="18"/>
        </w:rPr>
        <w:t>. Janeiro de 2002.</w:t>
      </w:r>
    </w:p>
    <w:p w:rsidR="00000050" w:rsidRPr="00000050" w:rsidRDefault="00000050" w:rsidP="00000050">
      <w:pPr>
        <w:pStyle w:val="PargrafodaLista"/>
        <w:rPr>
          <w:rFonts w:ascii="Arial" w:hAnsi="Arial" w:cs="Arial"/>
          <w:sz w:val="18"/>
          <w:szCs w:val="18"/>
        </w:rPr>
      </w:pPr>
    </w:p>
    <w:p w:rsidR="00000050" w:rsidRDefault="00000050" w:rsidP="00336BFC">
      <w:pPr>
        <w:pStyle w:val="PargrafodaLista"/>
        <w:numPr>
          <w:ilvl w:val="0"/>
          <w:numId w:val="22"/>
        </w:numPr>
        <w:ind w:left="0" w:firstLine="0"/>
        <w:jc w:val="both"/>
        <w:rPr>
          <w:rFonts w:ascii="Arial" w:hAnsi="Arial" w:cs="Arial"/>
          <w:sz w:val="18"/>
          <w:szCs w:val="18"/>
        </w:rPr>
      </w:pPr>
      <w:r w:rsidRPr="00000050">
        <w:rPr>
          <w:rFonts w:ascii="Arial" w:hAnsi="Arial" w:cs="Arial"/>
          <w:sz w:val="18"/>
          <w:szCs w:val="18"/>
        </w:rPr>
        <w:t xml:space="preserve">Empresa de Pesquisa Energética – </w:t>
      </w:r>
      <w:r w:rsidRPr="00000050">
        <w:rPr>
          <w:rFonts w:ascii="Arial" w:hAnsi="Arial" w:cs="Arial"/>
          <w:b/>
          <w:sz w:val="18"/>
          <w:szCs w:val="18"/>
        </w:rPr>
        <w:t>Metodologia de Cálculo das Garantias Físicas das Usinas - Nº EPE-DEE-RE-099/2008</w:t>
      </w:r>
      <w:r w:rsidRPr="00000050">
        <w:rPr>
          <w:rFonts w:ascii="Arial" w:hAnsi="Arial" w:cs="Arial"/>
          <w:sz w:val="18"/>
          <w:szCs w:val="18"/>
        </w:rPr>
        <w:t xml:space="preserve"> – r0. 2 de julho de 2008.</w:t>
      </w:r>
    </w:p>
    <w:p w:rsidR="00000050" w:rsidRPr="00000050" w:rsidRDefault="00000050" w:rsidP="00000050">
      <w:pPr>
        <w:pStyle w:val="PargrafodaLista"/>
        <w:rPr>
          <w:rFonts w:ascii="Arial" w:hAnsi="Arial" w:cs="Arial"/>
          <w:sz w:val="18"/>
          <w:szCs w:val="18"/>
        </w:rPr>
      </w:pPr>
    </w:p>
    <w:p w:rsidR="00000050" w:rsidRDefault="00000050" w:rsidP="00336BFC">
      <w:pPr>
        <w:pStyle w:val="PargrafodaLista"/>
        <w:numPr>
          <w:ilvl w:val="0"/>
          <w:numId w:val="22"/>
        </w:numPr>
        <w:ind w:left="0" w:firstLine="0"/>
        <w:jc w:val="both"/>
        <w:rPr>
          <w:rFonts w:ascii="Arial" w:hAnsi="Arial" w:cs="Arial"/>
          <w:sz w:val="18"/>
          <w:szCs w:val="18"/>
        </w:rPr>
      </w:pPr>
      <w:r>
        <w:rPr>
          <w:rFonts w:ascii="Arial" w:hAnsi="Arial" w:cs="Arial"/>
          <w:sz w:val="18"/>
          <w:szCs w:val="18"/>
        </w:rPr>
        <w:t xml:space="preserve">Steiner, P.O. </w:t>
      </w:r>
      <w:r w:rsidRPr="00000050">
        <w:rPr>
          <w:rFonts w:ascii="Arial" w:hAnsi="Arial" w:cs="Arial"/>
          <w:b/>
          <w:i/>
          <w:sz w:val="18"/>
          <w:szCs w:val="18"/>
        </w:rPr>
        <w:t>Peak Loads and Efficient Pricing.</w:t>
      </w:r>
      <w:r w:rsidRPr="00000050">
        <w:rPr>
          <w:rFonts w:ascii="Arial" w:hAnsi="Arial" w:cs="Arial"/>
          <w:i/>
          <w:sz w:val="18"/>
          <w:szCs w:val="18"/>
        </w:rPr>
        <w:t xml:space="preserve"> The Quartely Journal of Economics</w:t>
      </w:r>
      <w:r>
        <w:rPr>
          <w:rFonts w:ascii="Arial" w:hAnsi="Arial" w:cs="Arial"/>
          <w:sz w:val="18"/>
          <w:szCs w:val="18"/>
        </w:rPr>
        <w:t>. Nov 1957, 585-610.</w:t>
      </w:r>
    </w:p>
    <w:p w:rsidR="00000050" w:rsidRPr="00000050" w:rsidRDefault="00000050" w:rsidP="00000050">
      <w:pPr>
        <w:pStyle w:val="PargrafodaLista"/>
        <w:rPr>
          <w:rFonts w:ascii="Arial" w:hAnsi="Arial" w:cs="Arial"/>
          <w:sz w:val="18"/>
          <w:szCs w:val="18"/>
        </w:rPr>
      </w:pPr>
    </w:p>
    <w:p w:rsidR="00000050" w:rsidRDefault="00000050" w:rsidP="00336BFC">
      <w:pPr>
        <w:pStyle w:val="PargrafodaLista"/>
        <w:numPr>
          <w:ilvl w:val="0"/>
          <w:numId w:val="22"/>
        </w:numPr>
        <w:ind w:left="0" w:firstLine="0"/>
        <w:jc w:val="both"/>
        <w:rPr>
          <w:rFonts w:ascii="Arial" w:hAnsi="Arial" w:cs="Arial"/>
          <w:sz w:val="18"/>
          <w:szCs w:val="18"/>
        </w:rPr>
      </w:pPr>
      <w:r>
        <w:rPr>
          <w:rFonts w:ascii="Arial" w:hAnsi="Arial" w:cs="Arial"/>
          <w:sz w:val="18"/>
          <w:szCs w:val="18"/>
        </w:rPr>
        <w:t xml:space="preserve">Boiteaux. </w:t>
      </w:r>
      <w:r w:rsidRPr="00000050">
        <w:rPr>
          <w:rFonts w:ascii="Arial" w:hAnsi="Arial" w:cs="Arial"/>
          <w:b/>
          <w:i/>
          <w:sz w:val="18"/>
          <w:szCs w:val="18"/>
        </w:rPr>
        <w:t>Margin Cost Pricing in Practice</w:t>
      </w:r>
      <w:r>
        <w:rPr>
          <w:rFonts w:ascii="Arial" w:hAnsi="Arial" w:cs="Arial"/>
          <w:sz w:val="18"/>
          <w:szCs w:val="18"/>
        </w:rPr>
        <w:t xml:space="preserve">. </w:t>
      </w:r>
      <w:r w:rsidRPr="00000050">
        <w:rPr>
          <w:rFonts w:ascii="Arial" w:hAnsi="Arial" w:cs="Arial"/>
          <w:i/>
          <w:sz w:val="18"/>
          <w:szCs w:val="18"/>
        </w:rPr>
        <w:t>Journal of Business. XXIII. April 1960</w:t>
      </w:r>
      <w:r>
        <w:rPr>
          <w:rFonts w:ascii="Arial" w:hAnsi="Arial" w:cs="Arial"/>
          <w:sz w:val="18"/>
          <w:szCs w:val="18"/>
        </w:rPr>
        <w:t>. 157-79.</w:t>
      </w:r>
    </w:p>
    <w:p w:rsidR="00B36CD6" w:rsidRPr="00B36CD6" w:rsidRDefault="00B36CD6" w:rsidP="00B36CD6">
      <w:pPr>
        <w:pStyle w:val="PargrafodaLista"/>
        <w:rPr>
          <w:rFonts w:ascii="Arial" w:hAnsi="Arial" w:cs="Arial"/>
          <w:sz w:val="18"/>
          <w:szCs w:val="18"/>
        </w:rPr>
      </w:pPr>
    </w:p>
    <w:p w:rsidR="00B36CD6" w:rsidRDefault="00B36CD6" w:rsidP="00336BFC">
      <w:pPr>
        <w:pStyle w:val="PargrafodaLista"/>
        <w:numPr>
          <w:ilvl w:val="0"/>
          <w:numId w:val="22"/>
        </w:numPr>
        <w:ind w:left="0" w:firstLine="0"/>
        <w:jc w:val="both"/>
        <w:rPr>
          <w:rFonts w:ascii="Arial" w:hAnsi="Arial" w:cs="Arial"/>
          <w:sz w:val="18"/>
          <w:szCs w:val="18"/>
        </w:rPr>
      </w:pPr>
      <w:r>
        <w:rPr>
          <w:rFonts w:ascii="Arial" w:hAnsi="Arial" w:cs="Arial"/>
          <w:sz w:val="18"/>
          <w:szCs w:val="18"/>
        </w:rPr>
        <w:lastRenderedPageBreak/>
        <w:t>Munasinghe,M., Warford, J.</w:t>
      </w:r>
      <w:r w:rsidRPr="00B36CD6">
        <w:rPr>
          <w:rFonts w:ascii="Arial" w:hAnsi="Arial" w:cs="Arial"/>
          <w:sz w:val="18"/>
          <w:szCs w:val="18"/>
        </w:rPr>
        <w:t xml:space="preserve">. </w:t>
      </w:r>
      <w:r w:rsidRPr="00B36CD6">
        <w:rPr>
          <w:rFonts w:ascii="Arial" w:hAnsi="Arial" w:cs="Arial"/>
          <w:b/>
          <w:i/>
          <w:sz w:val="18"/>
          <w:szCs w:val="18"/>
        </w:rPr>
        <w:t>Electricity Pricing: Theory and Case Studies</w:t>
      </w:r>
      <w:r w:rsidRPr="00B36CD6">
        <w:rPr>
          <w:rFonts w:ascii="Arial" w:hAnsi="Arial" w:cs="Arial"/>
          <w:i/>
          <w:sz w:val="18"/>
          <w:szCs w:val="18"/>
        </w:rPr>
        <w:t>. Baltimore. The Johns Hopkins University Pres</w:t>
      </w:r>
      <w:r w:rsidRPr="00B36CD6">
        <w:rPr>
          <w:rFonts w:ascii="Arial" w:hAnsi="Arial" w:cs="Arial"/>
          <w:sz w:val="18"/>
          <w:szCs w:val="18"/>
        </w:rPr>
        <w:t>s, 1982. 368 p.</w:t>
      </w:r>
    </w:p>
    <w:p w:rsidR="00B36CD6" w:rsidRPr="00B36CD6" w:rsidRDefault="00B36CD6" w:rsidP="00B36CD6">
      <w:pPr>
        <w:pStyle w:val="PargrafodaLista"/>
        <w:rPr>
          <w:rFonts w:ascii="Arial" w:hAnsi="Arial" w:cs="Arial"/>
          <w:sz w:val="18"/>
          <w:szCs w:val="18"/>
        </w:rPr>
      </w:pPr>
    </w:p>
    <w:p w:rsidR="00B36CD6" w:rsidRPr="00B36CD6" w:rsidRDefault="00B36CD6" w:rsidP="00336BFC">
      <w:pPr>
        <w:pStyle w:val="PargrafodaLista"/>
        <w:numPr>
          <w:ilvl w:val="0"/>
          <w:numId w:val="22"/>
        </w:numPr>
        <w:ind w:left="0" w:firstLine="0"/>
        <w:jc w:val="both"/>
        <w:rPr>
          <w:rFonts w:ascii="Arial" w:hAnsi="Arial" w:cs="Arial"/>
          <w:sz w:val="18"/>
          <w:szCs w:val="18"/>
        </w:rPr>
      </w:pPr>
      <w:r w:rsidRPr="00B36CD6">
        <w:rPr>
          <w:rFonts w:ascii="Arial" w:hAnsi="Arial" w:cs="Arial"/>
          <w:sz w:val="18"/>
          <w:szCs w:val="18"/>
        </w:rPr>
        <w:t xml:space="preserve">TURVEY, Ralph, ANDERSON, Dennis. </w:t>
      </w:r>
      <w:r w:rsidRPr="00B36CD6">
        <w:rPr>
          <w:rFonts w:ascii="Arial" w:hAnsi="Arial" w:cs="Arial"/>
          <w:b/>
          <w:i/>
          <w:sz w:val="18"/>
          <w:szCs w:val="18"/>
        </w:rPr>
        <w:t>Electricity Economics</w:t>
      </w:r>
      <w:r w:rsidRPr="00B36CD6">
        <w:rPr>
          <w:rFonts w:ascii="Arial" w:hAnsi="Arial" w:cs="Arial"/>
          <w:i/>
          <w:sz w:val="18"/>
          <w:szCs w:val="18"/>
        </w:rPr>
        <w:t>. Baltimore. The Johns Hopkins University</w:t>
      </w:r>
      <w:r w:rsidRPr="00B36CD6">
        <w:rPr>
          <w:rFonts w:ascii="Arial" w:hAnsi="Arial" w:cs="Arial"/>
          <w:sz w:val="18"/>
          <w:szCs w:val="18"/>
        </w:rPr>
        <w:t xml:space="preserve"> Press, 1977.</w:t>
      </w:r>
    </w:p>
    <w:p w:rsidR="00B36CD6" w:rsidRPr="00B36CD6" w:rsidRDefault="00B36CD6" w:rsidP="00B36CD6">
      <w:pPr>
        <w:pStyle w:val="PargrafodaLista"/>
        <w:rPr>
          <w:rFonts w:ascii="Arial" w:hAnsi="Arial" w:cs="Arial"/>
          <w:sz w:val="18"/>
          <w:szCs w:val="18"/>
        </w:rPr>
      </w:pPr>
    </w:p>
    <w:p w:rsidR="00B36CD6" w:rsidRDefault="00B36CD6" w:rsidP="00336BFC">
      <w:pPr>
        <w:pStyle w:val="PargrafodaLista"/>
        <w:numPr>
          <w:ilvl w:val="0"/>
          <w:numId w:val="22"/>
        </w:numPr>
        <w:ind w:left="0" w:firstLine="0"/>
        <w:jc w:val="both"/>
        <w:rPr>
          <w:rFonts w:ascii="Arial" w:hAnsi="Arial" w:cs="Arial"/>
          <w:sz w:val="18"/>
          <w:szCs w:val="18"/>
        </w:rPr>
      </w:pPr>
      <w:r w:rsidRPr="00B36CD6">
        <w:rPr>
          <w:rFonts w:ascii="Arial" w:hAnsi="Arial" w:cs="Arial"/>
          <w:sz w:val="18"/>
          <w:szCs w:val="18"/>
        </w:rPr>
        <w:t>Albuquerque, J</w:t>
      </w:r>
      <w:r>
        <w:rPr>
          <w:rFonts w:ascii="Arial" w:hAnsi="Arial" w:cs="Arial"/>
          <w:sz w:val="18"/>
          <w:szCs w:val="18"/>
        </w:rPr>
        <w:t>.</w:t>
      </w:r>
      <w:r w:rsidRPr="00B36CD6">
        <w:rPr>
          <w:rFonts w:ascii="Arial" w:hAnsi="Arial" w:cs="Arial"/>
          <w:sz w:val="18"/>
          <w:szCs w:val="18"/>
        </w:rPr>
        <w:t>C</w:t>
      </w:r>
      <w:r>
        <w:rPr>
          <w:rFonts w:ascii="Arial" w:hAnsi="Arial" w:cs="Arial"/>
          <w:sz w:val="18"/>
          <w:szCs w:val="18"/>
        </w:rPr>
        <w:t>.R.</w:t>
      </w:r>
      <w:r w:rsidRPr="00B36CD6">
        <w:rPr>
          <w:rFonts w:ascii="Arial" w:hAnsi="Arial" w:cs="Arial"/>
          <w:sz w:val="18"/>
          <w:szCs w:val="18"/>
        </w:rPr>
        <w:t xml:space="preserve">, BORN, </w:t>
      </w:r>
      <w:r>
        <w:rPr>
          <w:rFonts w:ascii="Arial" w:hAnsi="Arial" w:cs="Arial"/>
          <w:sz w:val="18"/>
          <w:szCs w:val="18"/>
        </w:rPr>
        <w:t>P.H.</w:t>
      </w:r>
      <w:r w:rsidRPr="00B36CD6">
        <w:rPr>
          <w:rFonts w:ascii="Arial" w:hAnsi="Arial" w:cs="Arial"/>
          <w:sz w:val="18"/>
          <w:szCs w:val="18"/>
        </w:rPr>
        <w:t xml:space="preserve"> </w:t>
      </w:r>
      <w:r w:rsidRPr="00B36CD6">
        <w:rPr>
          <w:rFonts w:ascii="Arial" w:hAnsi="Arial" w:cs="Arial"/>
          <w:b/>
          <w:sz w:val="18"/>
          <w:szCs w:val="18"/>
        </w:rPr>
        <w:t>Custos Marginais em Sistemas Predominantemente Hidroelétricos: A Experiência Brasileira</w:t>
      </w:r>
      <w:r w:rsidRPr="00B36CD6">
        <w:rPr>
          <w:rFonts w:ascii="Arial" w:hAnsi="Arial" w:cs="Arial"/>
          <w:sz w:val="18"/>
          <w:szCs w:val="18"/>
        </w:rPr>
        <w:t>. 1992.</w:t>
      </w:r>
    </w:p>
    <w:p w:rsidR="00667572" w:rsidRPr="00667572" w:rsidRDefault="00667572" w:rsidP="00667572">
      <w:pPr>
        <w:pStyle w:val="PargrafodaLista"/>
        <w:rPr>
          <w:rFonts w:ascii="Arial" w:hAnsi="Arial" w:cs="Arial"/>
          <w:sz w:val="18"/>
          <w:szCs w:val="18"/>
        </w:rPr>
      </w:pPr>
    </w:p>
    <w:p w:rsidR="00667572" w:rsidRDefault="00667572" w:rsidP="00336BFC">
      <w:pPr>
        <w:pStyle w:val="PargrafodaLista"/>
        <w:numPr>
          <w:ilvl w:val="0"/>
          <w:numId w:val="22"/>
        </w:numPr>
        <w:ind w:left="0" w:firstLine="0"/>
        <w:jc w:val="both"/>
        <w:rPr>
          <w:rFonts w:ascii="Arial" w:hAnsi="Arial" w:cs="Arial"/>
          <w:sz w:val="18"/>
          <w:szCs w:val="18"/>
        </w:rPr>
      </w:pPr>
      <w:r w:rsidRPr="00667572">
        <w:rPr>
          <w:rFonts w:ascii="Arial" w:hAnsi="Arial" w:cs="Arial"/>
          <w:sz w:val="18"/>
          <w:szCs w:val="18"/>
        </w:rPr>
        <w:t xml:space="preserve">BITU, Roberto, BORN, Paulo. </w:t>
      </w:r>
      <w:r w:rsidRPr="00667572">
        <w:rPr>
          <w:rFonts w:ascii="Arial" w:hAnsi="Arial" w:cs="Arial"/>
          <w:b/>
          <w:sz w:val="18"/>
          <w:szCs w:val="18"/>
        </w:rPr>
        <w:t>Tarifas de Energia Elétrica: Aspectos Conceituais e Metodológicos</w:t>
      </w:r>
      <w:r w:rsidRPr="00667572">
        <w:rPr>
          <w:rFonts w:ascii="Arial" w:hAnsi="Arial" w:cs="Arial"/>
          <w:sz w:val="18"/>
          <w:szCs w:val="18"/>
        </w:rPr>
        <w:t>. São Paulo : MM Editora, 1993. 164 p.</w:t>
      </w:r>
      <w:r w:rsidR="00305EE7">
        <w:rPr>
          <w:rFonts w:ascii="Arial" w:hAnsi="Arial" w:cs="Arial"/>
          <w:sz w:val="18"/>
          <w:szCs w:val="18"/>
        </w:rPr>
        <w:t xml:space="preserve">. </w:t>
      </w:r>
    </w:p>
    <w:p w:rsidR="00305EE7" w:rsidRPr="00305EE7" w:rsidRDefault="00305EE7" w:rsidP="00305EE7">
      <w:pPr>
        <w:pStyle w:val="PargrafodaLista"/>
        <w:rPr>
          <w:rFonts w:ascii="Arial" w:hAnsi="Arial" w:cs="Arial"/>
          <w:sz w:val="18"/>
          <w:szCs w:val="18"/>
        </w:rPr>
      </w:pPr>
    </w:p>
    <w:p w:rsidR="00305EE7" w:rsidRDefault="00305EE7" w:rsidP="00336BFC">
      <w:pPr>
        <w:pStyle w:val="PargrafodaLista"/>
        <w:numPr>
          <w:ilvl w:val="0"/>
          <w:numId w:val="22"/>
        </w:numPr>
        <w:ind w:left="0" w:firstLine="0"/>
        <w:jc w:val="both"/>
        <w:rPr>
          <w:rFonts w:ascii="Arial" w:hAnsi="Arial" w:cs="Arial"/>
          <w:sz w:val="18"/>
          <w:szCs w:val="18"/>
        </w:rPr>
      </w:pPr>
      <w:r>
        <w:rPr>
          <w:rFonts w:ascii="Arial" w:hAnsi="Arial" w:cs="Arial"/>
          <w:sz w:val="18"/>
          <w:szCs w:val="18"/>
        </w:rPr>
        <w:t xml:space="preserve">Secretaria Nacional de Energia. </w:t>
      </w:r>
      <w:r w:rsidRPr="00305EE7">
        <w:rPr>
          <w:rFonts w:ascii="Arial" w:hAnsi="Arial" w:cs="Arial"/>
          <w:b/>
          <w:sz w:val="18"/>
          <w:szCs w:val="18"/>
        </w:rPr>
        <w:t>Atualização do Custo Marginal de Expansão</w:t>
      </w:r>
      <w:r>
        <w:rPr>
          <w:rFonts w:ascii="Arial" w:hAnsi="Arial" w:cs="Arial"/>
          <w:sz w:val="18"/>
          <w:szCs w:val="18"/>
        </w:rPr>
        <w:t>. Versão Preliminar. Março de 2001.</w:t>
      </w:r>
    </w:p>
    <w:p w:rsidR="00544AE0" w:rsidRPr="00544AE0" w:rsidRDefault="00544AE0" w:rsidP="00544AE0">
      <w:pPr>
        <w:pStyle w:val="PargrafodaLista"/>
        <w:rPr>
          <w:rFonts w:ascii="Arial" w:hAnsi="Arial" w:cs="Arial"/>
          <w:sz w:val="18"/>
          <w:szCs w:val="18"/>
        </w:rPr>
      </w:pPr>
    </w:p>
    <w:p w:rsidR="00544AE0" w:rsidRDefault="00544AE0" w:rsidP="00336BFC">
      <w:pPr>
        <w:pStyle w:val="PargrafodaLista"/>
        <w:numPr>
          <w:ilvl w:val="0"/>
          <w:numId w:val="22"/>
        </w:numPr>
        <w:ind w:left="0" w:firstLine="0"/>
        <w:jc w:val="both"/>
        <w:rPr>
          <w:rFonts w:ascii="Arial" w:hAnsi="Arial" w:cs="Arial"/>
          <w:sz w:val="18"/>
          <w:szCs w:val="18"/>
        </w:rPr>
      </w:pPr>
      <w:r w:rsidRPr="00544AE0">
        <w:rPr>
          <w:rFonts w:ascii="Arial" w:hAnsi="Arial" w:cs="Arial"/>
          <w:sz w:val="18"/>
          <w:szCs w:val="18"/>
        </w:rPr>
        <w:t xml:space="preserve">Empresa de Pesquisa Energética – </w:t>
      </w:r>
      <w:r w:rsidRPr="00544AE0">
        <w:rPr>
          <w:rFonts w:ascii="Arial" w:hAnsi="Arial" w:cs="Arial"/>
          <w:b/>
          <w:sz w:val="18"/>
          <w:szCs w:val="18"/>
        </w:rPr>
        <w:t>Custo Marg</w:t>
      </w:r>
      <w:r>
        <w:rPr>
          <w:rFonts w:ascii="Arial" w:hAnsi="Arial" w:cs="Arial"/>
          <w:b/>
          <w:sz w:val="18"/>
          <w:szCs w:val="18"/>
        </w:rPr>
        <w:t>inal de Expansão: metodologia e</w:t>
      </w:r>
      <w:r w:rsidRPr="00544AE0">
        <w:rPr>
          <w:rFonts w:ascii="Arial" w:hAnsi="Arial" w:cs="Arial"/>
          <w:b/>
          <w:sz w:val="18"/>
          <w:szCs w:val="18"/>
        </w:rPr>
        <w:t xml:space="preserve"> cálculo </w:t>
      </w:r>
      <w:r>
        <w:rPr>
          <w:rFonts w:ascii="Arial" w:hAnsi="Arial" w:cs="Arial"/>
          <w:b/>
          <w:sz w:val="18"/>
          <w:szCs w:val="18"/>
        </w:rPr>
        <w:t>2016</w:t>
      </w:r>
      <w:r w:rsidRPr="00544AE0">
        <w:rPr>
          <w:rFonts w:ascii="Arial" w:hAnsi="Arial" w:cs="Arial"/>
          <w:b/>
          <w:sz w:val="18"/>
          <w:szCs w:val="18"/>
        </w:rPr>
        <w:t>-</w:t>
      </w:r>
      <w:r w:rsidRPr="00544AE0">
        <w:rPr>
          <w:rFonts w:ascii="Arial" w:hAnsi="Arial" w:cs="Arial"/>
          <w:sz w:val="18"/>
          <w:szCs w:val="18"/>
        </w:rPr>
        <w:t xml:space="preserve"> Usinas - </w:t>
      </w:r>
      <w:r>
        <w:rPr>
          <w:rFonts w:ascii="Arial" w:hAnsi="Arial" w:cs="Arial"/>
          <w:bCs/>
          <w:sz w:val="18"/>
          <w:szCs w:val="18"/>
        </w:rPr>
        <w:t>No EPE-DEE-RE-010/2016</w:t>
      </w:r>
      <w:r w:rsidRPr="00544AE0">
        <w:rPr>
          <w:rFonts w:ascii="Arial" w:hAnsi="Arial" w:cs="Arial"/>
          <w:bCs/>
          <w:sz w:val="18"/>
          <w:szCs w:val="18"/>
        </w:rPr>
        <w:t>-r0</w:t>
      </w:r>
      <w:r>
        <w:rPr>
          <w:rFonts w:ascii="Arial" w:hAnsi="Arial" w:cs="Arial"/>
          <w:sz w:val="18"/>
          <w:szCs w:val="18"/>
        </w:rPr>
        <w:t>. 19</w:t>
      </w:r>
      <w:r w:rsidRPr="00544AE0">
        <w:rPr>
          <w:rFonts w:ascii="Arial" w:hAnsi="Arial" w:cs="Arial"/>
          <w:sz w:val="18"/>
          <w:szCs w:val="18"/>
        </w:rPr>
        <w:t xml:space="preserve"> de </w:t>
      </w:r>
      <w:r>
        <w:rPr>
          <w:rFonts w:ascii="Arial" w:hAnsi="Arial" w:cs="Arial"/>
          <w:sz w:val="18"/>
          <w:szCs w:val="18"/>
        </w:rPr>
        <w:t>fevereiro de 2016</w:t>
      </w:r>
      <w:r w:rsidRPr="00544AE0">
        <w:rPr>
          <w:rFonts w:ascii="Arial" w:hAnsi="Arial" w:cs="Arial"/>
          <w:sz w:val="18"/>
          <w:szCs w:val="18"/>
        </w:rPr>
        <w:t>.</w:t>
      </w:r>
    </w:p>
    <w:p w:rsidR="007C6D8A" w:rsidRPr="007C6D8A" w:rsidRDefault="007C6D8A" w:rsidP="007C6D8A">
      <w:pPr>
        <w:pStyle w:val="PargrafodaLista"/>
        <w:rPr>
          <w:rFonts w:ascii="Arial" w:hAnsi="Arial" w:cs="Arial"/>
          <w:sz w:val="18"/>
          <w:szCs w:val="18"/>
        </w:rPr>
      </w:pPr>
    </w:p>
    <w:p w:rsidR="007C6D8A" w:rsidRDefault="007C6D8A" w:rsidP="00336BFC">
      <w:pPr>
        <w:pStyle w:val="PargrafodaLista"/>
        <w:numPr>
          <w:ilvl w:val="0"/>
          <w:numId w:val="22"/>
        </w:numPr>
        <w:ind w:left="0" w:firstLine="0"/>
        <w:jc w:val="both"/>
        <w:rPr>
          <w:rFonts w:ascii="Arial" w:hAnsi="Arial" w:cs="Arial"/>
          <w:sz w:val="18"/>
          <w:szCs w:val="18"/>
        </w:rPr>
      </w:pPr>
      <w:r w:rsidRPr="007C6D8A">
        <w:rPr>
          <w:rFonts w:ascii="Arial" w:hAnsi="Arial" w:cs="Arial"/>
          <w:sz w:val="18"/>
          <w:szCs w:val="18"/>
        </w:rPr>
        <w:t xml:space="preserve">Centro de Pesquisa de Energia Elétrica- Cepel. </w:t>
      </w:r>
      <w:r w:rsidRPr="007C6D8A">
        <w:rPr>
          <w:rFonts w:ascii="Arial" w:hAnsi="Arial" w:cs="Arial"/>
          <w:b/>
          <w:sz w:val="18"/>
          <w:szCs w:val="18"/>
        </w:rPr>
        <w:t>Metodologia do Parâmetro do Custo de Déficit de Energia</w:t>
      </w:r>
      <w:r w:rsidRPr="007C6D8A">
        <w:rPr>
          <w:rFonts w:ascii="Arial" w:hAnsi="Arial" w:cs="Arial"/>
          <w:sz w:val="18"/>
          <w:szCs w:val="18"/>
        </w:rPr>
        <w:t>. Rio de Janeiro. 2001.</w:t>
      </w:r>
    </w:p>
    <w:p w:rsidR="008D169D" w:rsidRPr="008D169D" w:rsidRDefault="008D169D" w:rsidP="008D169D">
      <w:pPr>
        <w:pStyle w:val="PargrafodaLista"/>
        <w:rPr>
          <w:rFonts w:ascii="Arial" w:hAnsi="Arial" w:cs="Arial"/>
          <w:sz w:val="18"/>
          <w:szCs w:val="18"/>
        </w:rPr>
      </w:pPr>
    </w:p>
    <w:p w:rsidR="008D169D" w:rsidRDefault="004E132A" w:rsidP="00336BFC">
      <w:pPr>
        <w:pStyle w:val="PargrafodaLista"/>
        <w:numPr>
          <w:ilvl w:val="0"/>
          <w:numId w:val="22"/>
        </w:numPr>
        <w:ind w:left="0" w:firstLine="0"/>
        <w:jc w:val="both"/>
        <w:rPr>
          <w:rFonts w:ascii="Arial" w:hAnsi="Arial" w:cs="Arial"/>
          <w:sz w:val="18"/>
          <w:szCs w:val="18"/>
        </w:rPr>
      </w:pPr>
      <w:r w:rsidRPr="00544AE0">
        <w:rPr>
          <w:rFonts w:ascii="Arial" w:hAnsi="Arial" w:cs="Arial"/>
          <w:sz w:val="18"/>
          <w:szCs w:val="18"/>
        </w:rPr>
        <w:t xml:space="preserve">Empresa de Pesquisa Energética – </w:t>
      </w:r>
      <w:r>
        <w:rPr>
          <w:rFonts w:ascii="Arial" w:hAnsi="Arial" w:cs="Arial"/>
          <w:b/>
          <w:sz w:val="18"/>
          <w:szCs w:val="18"/>
        </w:rPr>
        <w:t>Atualização do Valor do Patamar Único do Custo de Déficit</w:t>
      </w:r>
      <w:r w:rsidRPr="00544AE0">
        <w:rPr>
          <w:rFonts w:ascii="Arial" w:hAnsi="Arial" w:cs="Arial"/>
          <w:sz w:val="18"/>
          <w:szCs w:val="18"/>
        </w:rPr>
        <w:t xml:space="preserve"> - </w:t>
      </w:r>
      <w:r>
        <w:rPr>
          <w:rFonts w:ascii="Arial" w:hAnsi="Arial" w:cs="Arial"/>
          <w:bCs/>
          <w:sz w:val="18"/>
          <w:szCs w:val="18"/>
        </w:rPr>
        <w:t>No EPE-DEE-RE-014/2016</w:t>
      </w:r>
      <w:r w:rsidRPr="00544AE0">
        <w:rPr>
          <w:rFonts w:ascii="Arial" w:hAnsi="Arial" w:cs="Arial"/>
          <w:bCs/>
          <w:sz w:val="18"/>
          <w:szCs w:val="18"/>
        </w:rPr>
        <w:t>-r0</w:t>
      </w:r>
      <w:r>
        <w:rPr>
          <w:rFonts w:ascii="Arial" w:hAnsi="Arial" w:cs="Arial"/>
          <w:sz w:val="18"/>
          <w:szCs w:val="18"/>
        </w:rPr>
        <w:t>. 12</w:t>
      </w:r>
      <w:r w:rsidRPr="00544AE0">
        <w:rPr>
          <w:rFonts w:ascii="Arial" w:hAnsi="Arial" w:cs="Arial"/>
          <w:sz w:val="18"/>
          <w:szCs w:val="18"/>
        </w:rPr>
        <w:t xml:space="preserve"> de </w:t>
      </w:r>
      <w:r>
        <w:rPr>
          <w:rFonts w:ascii="Arial" w:hAnsi="Arial" w:cs="Arial"/>
          <w:sz w:val="18"/>
          <w:szCs w:val="18"/>
        </w:rPr>
        <w:t>fevereiro de 2016</w:t>
      </w:r>
      <w:r w:rsidRPr="00544AE0">
        <w:rPr>
          <w:rFonts w:ascii="Arial" w:hAnsi="Arial" w:cs="Arial"/>
          <w:sz w:val="18"/>
          <w:szCs w:val="18"/>
        </w:rPr>
        <w:t>.</w:t>
      </w:r>
    </w:p>
    <w:p w:rsidR="008D169D" w:rsidRPr="008D169D" w:rsidRDefault="008D169D" w:rsidP="008D169D">
      <w:pPr>
        <w:pStyle w:val="PargrafodaLista"/>
        <w:rPr>
          <w:rFonts w:ascii="Arial" w:hAnsi="Arial" w:cs="Arial"/>
          <w:sz w:val="18"/>
          <w:szCs w:val="18"/>
        </w:rPr>
      </w:pPr>
    </w:p>
    <w:p w:rsidR="008D169D" w:rsidRPr="000B0C5A" w:rsidRDefault="008D169D" w:rsidP="00336BFC">
      <w:pPr>
        <w:pStyle w:val="PargrafodaLista"/>
        <w:numPr>
          <w:ilvl w:val="0"/>
          <w:numId w:val="22"/>
        </w:numPr>
        <w:ind w:left="0" w:firstLine="0"/>
        <w:jc w:val="both"/>
        <w:rPr>
          <w:rFonts w:ascii="Arial" w:hAnsi="Arial" w:cs="Arial"/>
          <w:sz w:val="18"/>
          <w:szCs w:val="18"/>
        </w:rPr>
      </w:pPr>
      <w:r w:rsidRPr="008D169D">
        <w:rPr>
          <w:rFonts w:ascii="Arial" w:hAnsi="Arial" w:cs="Arial"/>
          <w:color w:val="000000" w:themeColor="text1"/>
          <w:sz w:val="18"/>
          <w:szCs w:val="18"/>
        </w:rPr>
        <w:t xml:space="preserve">D´ÁRAÚJO, R. </w:t>
      </w:r>
      <w:r w:rsidRPr="008D169D">
        <w:rPr>
          <w:rFonts w:ascii="Arial" w:hAnsi="Arial" w:cs="Arial"/>
          <w:b/>
          <w:color w:val="000000" w:themeColor="text1"/>
          <w:sz w:val="18"/>
          <w:szCs w:val="18"/>
        </w:rPr>
        <w:t>Setor Elétrico Brasileira: uma aventura mercantil</w:t>
      </w:r>
      <w:r w:rsidRPr="008D169D">
        <w:rPr>
          <w:rFonts w:ascii="Arial" w:hAnsi="Arial" w:cs="Arial"/>
          <w:color w:val="000000" w:themeColor="text1"/>
          <w:sz w:val="18"/>
          <w:szCs w:val="18"/>
        </w:rPr>
        <w:t>. Brasilia. Confea. 2009.</w:t>
      </w:r>
    </w:p>
    <w:p w:rsidR="000B0C5A" w:rsidRPr="000B0C5A" w:rsidRDefault="000B0C5A" w:rsidP="000B0C5A">
      <w:pPr>
        <w:pStyle w:val="PargrafodaLista"/>
        <w:rPr>
          <w:rFonts w:ascii="Arial" w:hAnsi="Arial" w:cs="Arial"/>
          <w:sz w:val="18"/>
          <w:szCs w:val="18"/>
        </w:rPr>
      </w:pPr>
    </w:p>
    <w:p w:rsidR="000B0C5A" w:rsidRPr="00452728" w:rsidRDefault="000B0C5A" w:rsidP="00336BFC">
      <w:pPr>
        <w:pStyle w:val="PargrafodaLista"/>
        <w:numPr>
          <w:ilvl w:val="0"/>
          <w:numId w:val="22"/>
        </w:numPr>
        <w:ind w:left="0" w:firstLine="0"/>
        <w:jc w:val="both"/>
        <w:rPr>
          <w:rFonts w:ascii="Arial" w:hAnsi="Arial" w:cs="Arial"/>
          <w:sz w:val="18"/>
          <w:szCs w:val="18"/>
        </w:rPr>
      </w:pPr>
      <w:r w:rsidRPr="000B0C5A">
        <w:rPr>
          <w:rFonts w:ascii="Arial" w:hAnsi="Arial" w:cs="Arial"/>
          <w:color w:val="000000" w:themeColor="text1"/>
          <w:sz w:val="18"/>
          <w:szCs w:val="18"/>
        </w:rPr>
        <w:t xml:space="preserve">LOPES, J.E.G. – </w:t>
      </w:r>
      <w:r w:rsidRPr="000B0C5A">
        <w:rPr>
          <w:rFonts w:ascii="Arial" w:hAnsi="Arial" w:cs="Arial"/>
          <w:b/>
          <w:color w:val="000000" w:themeColor="text1"/>
          <w:sz w:val="18"/>
          <w:szCs w:val="18"/>
        </w:rPr>
        <w:t>A Relevância dos Modelos de Otimização e Simulação do Sistema Hidrelétrico Brasileiro.</w:t>
      </w:r>
      <w:r w:rsidRPr="000B0C5A">
        <w:rPr>
          <w:rFonts w:ascii="Arial" w:hAnsi="Arial" w:cs="Arial"/>
          <w:color w:val="000000" w:themeColor="text1"/>
          <w:sz w:val="18"/>
          <w:szCs w:val="18"/>
        </w:rPr>
        <w:t xml:space="preserve"> In: A Reconstrução do Setor Elétrico Brasileiro. Campo Grande, MS: Ed. UFMS; São Paulo: Paz e Terra, 2003.</w:t>
      </w:r>
    </w:p>
    <w:p w:rsidR="00452728" w:rsidRPr="00452728" w:rsidRDefault="00452728" w:rsidP="00452728">
      <w:pPr>
        <w:pStyle w:val="PargrafodaLista"/>
        <w:rPr>
          <w:rFonts w:ascii="Arial" w:hAnsi="Arial" w:cs="Arial"/>
          <w:sz w:val="18"/>
          <w:szCs w:val="18"/>
        </w:rPr>
      </w:pPr>
    </w:p>
    <w:p w:rsidR="00452728" w:rsidRPr="009240AC" w:rsidRDefault="00452728" w:rsidP="00452728">
      <w:pPr>
        <w:pStyle w:val="Ttulo1"/>
        <w:rPr>
          <w:szCs w:val="18"/>
        </w:rPr>
      </w:pPr>
      <w:r>
        <w:t>DADOS BIOGRÁFICOS</w:t>
      </w:r>
    </w:p>
    <w:p w:rsidR="00452728" w:rsidRDefault="00452728" w:rsidP="00452728">
      <w:pPr>
        <w:spacing w:beforeLines="60" w:before="144" w:afterLines="60" w:after="144"/>
      </w:pPr>
      <w:r w:rsidRPr="00464B42">
        <w:rPr>
          <w:noProof/>
        </w:rPr>
        <w:drawing>
          <wp:inline distT="0" distB="0" distL="0" distR="0" wp14:anchorId="62B4A9FD" wp14:editId="47EA2C7F">
            <wp:extent cx="685800" cy="762000"/>
            <wp:effectExtent l="0" t="0" r="0" b="0"/>
            <wp:docPr id="2" name="Imagem 2" descr="C:\salvos do net sony\seminário\SNPTEE11\imag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C:\salvos do net sony\seminário\SNPTEE11\imagem.JPG"/>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685800" cy="762000"/>
                    </a:xfrm>
                    <a:prstGeom prst="rect">
                      <a:avLst/>
                    </a:prstGeom>
                    <a:noFill/>
                    <a:ln>
                      <a:noFill/>
                    </a:ln>
                  </pic:spPr>
                </pic:pic>
              </a:graphicData>
            </a:graphic>
          </wp:inline>
        </w:drawing>
      </w:r>
    </w:p>
    <w:p w:rsidR="00452728" w:rsidRDefault="00452728" w:rsidP="00452728">
      <w:pPr>
        <w:jc w:val="both"/>
        <w:rPr>
          <w:lang w:val="en-US"/>
        </w:rPr>
      </w:pPr>
      <w:r>
        <w:t xml:space="preserve">Engenheiro Eletricista e Economista, com especialização em Planejamento Energético (COPPE) e Mestrado em Engenharia de Produção (UFF). </w:t>
      </w:r>
      <w:r w:rsidRPr="008E37BB">
        <w:rPr>
          <w:rFonts w:cs="Arial"/>
          <w:szCs w:val="18"/>
        </w:rPr>
        <w:t xml:space="preserve">Possui </w:t>
      </w:r>
      <w:r>
        <w:rPr>
          <w:rFonts w:cs="Arial"/>
          <w:szCs w:val="18"/>
        </w:rPr>
        <w:t>30</w:t>
      </w:r>
      <w:r w:rsidRPr="008E37BB">
        <w:rPr>
          <w:rFonts w:cs="Arial"/>
          <w:szCs w:val="18"/>
        </w:rPr>
        <w:t xml:space="preserve"> anos de experiência na Indústria de Energia Elétrica, tendo prestado serviço a diversas empr</w:t>
      </w:r>
      <w:r>
        <w:rPr>
          <w:rFonts w:cs="Arial"/>
          <w:szCs w:val="18"/>
        </w:rPr>
        <w:t>esas como: Eletrobrás</w:t>
      </w:r>
      <w:r w:rsidRPr="008E37BB">
        <w:rPr>
          <w:rFonts w:cs="Arial"/>
          <w:szCs w:val="18"/>
        </w:rPr>
        <w:t>, Furnas, Iberdrola, I</w:t>
      </w:r>
      <w:r>
        <w:rPr>
          <w:rFonts w:cs="Arial"/>
          <w:szCs w:val="18"/>
        </w:rPr>
        <w:t>ntertechne, Marte Engenharia e Petrobras</w:t>
      </w:r>
      <w:r w:rsidRPr="008E37BB">
        <w:rPr>
          <w:rFonts w:cs="Arial"/>
          <w:szCs w:val="18"/>
        </w:rPr>
        <w:t xml:space="preserve">. </w:t>
      </w:r>
      <w:r>
        <w:rPr>
          <w:rFonts w:cs="Arial"/>
          <w:szCs w:val="18"/>
        </w:rPr>
        <w:t xml:space="preserve">Sócio-diretor da Global Performance Management (GPM). </w:t>
      </w:r>
      <w:r w:rsidRPr="008E37BB">
        <w:rPr>
          <w:rFonts w:cs="Arial"/>
          <w:szCs w:val="18"/>
        </w:rPr>
        <w:t>Foi Coordenador</w:t>
      </w:r>
      <w:r>
        <w:rPr>
          <w:rFonts w:cs="Arial"/>
          <w:szCs w:val="18"/>
        </w:rPr>
        <w:t xml:space="preserve"> Acadêmico do Ibmec/Soluções Corporativas</w:t>
      </w:r>
      <w:r w:rsidRPr="008E37BB">
        <w:rPr>
          <w:rFonts w:cs="Arial"/>
          <w:szCs w:val="18"/>
        </w:rPr>
        <w:t xml:space="preserve"> e responsável pelo</w:t>
      </w:r>
      <w:r>
        <w:rPr>
          <w:rFonts w:cs="Arial"/>
          <w:szCs w:val="18"/>
        </w:rPr>
        <w:t>s</w:t>
      </w:r>
      <w:r w:rsidRPr="008E37BB">
        <w:rPr>
          <w:rFonts w:cs="Arial"/>
          <w:szCs w:val="18"/>
        </w:rPr>
        <w:t xml:space="preserve"> curso</w:t>
      </w:r>
      <w:r>
        <w:rPr>
          <w:rFonts w:cs="Arial"/>
          <w:szCs w:val="18"/>
        </w:rPr>
        <w:t>s</w:t>
      </w:r>
      <w:r w:rsidRPr="008E37BB">
        <w:rPr>
          <w:rFonts w:cs="Arial"/>
          <w:szCs w:val="18"/>
        </w:rPr>
        <w:t xml:space="preserve"> de MBA em </w:t>
      </w:r>
      <w:r>
        <w:rPr>
          <w:rFonts w:cs="Arial"/>
          <w:szCs w:val="18"/>
        </w:rPr>
        <w:t xml:space="preserve">Gestão de Negócios na Indústria de </w:t>
      </w:r>
      <w:r w:rsidRPr="008E37BB">
        <w:rPr>
          <w:rFonts w:cs="Arial"/>
          <w:szCs w:val="18"/>
        </w:rPr>
        <w:t>Energia Elétrica</w:t>
      </w:r>
      <w:r>
        <w:rPr>
          <w:rFonts w:cs="Arial"/>
          <w:szCs w:val="18"/>
        </w:rPr>
        <w:t xml:space="preserve"> para as empresas Enel e Furnas</w:t>
      </w:r>
      <w:r w:rsidRPr="008E37BB">
        <w:rPr>
          <w:rFonts w:cs="Arial"/>
          <w:szCs w:val="18"/>
        </w:rPr>
        <w:t xml:space="preserve">. Credenciado junto a Agência Nacional de Energia Elétrica </w:t>
      </w:r>
      <w:r>
        <w:rPr>
          <w:rFonts w:cs="Arial"/>
          <w:szCs w:val="18"/>
        </w:rPr>
        <w:t>–</w:t>
      </w:r>
      <w:r w:rsidRPr="008E37BB">
        <w:rPr>
          <w:rFonts w:cs="Arial"/>
          <w:szCs w:val="18"/>
        </w:rPr>
        <w:t xml:space="preserve"> Aneel para avaliar projetos de P&amp;D. Docente em Finanças e Métodos Quantitativos para cursos de MBA (Ibmec, FGV, Mack</w:t>
      </w:r>
      <w:r>
        <w:rPr>
          <w:rFonts w:cs="Arial"/>
          <w:szCs w:val="18"/>
        </w:rPr>
        <w:t xml:space="preserve">enzie, Fundação Dom Cabral e UFF). Premiado no XXIV SNPTEE, Grupo de Estudos de Aspectos Empresariais e Gestão Corporativa – GEC, com o Informe Técnico: </w:t>
      </w:r>
      <w:r w:rsidRPr="0011235E">
        <w:rPr>
          <w:rFonts w:cs="Arial"/>
          <w:b/>
          <w:szCs w:val="18"/>
        </w:rPr>
        <w:t>O custo e a estrutura de capital para a indústria de energia elétrica brasileira: aspectos metodológicos e aplicações</w:t>
      </w:r>
      <w:r>
        <w:rPr>
          <w:rFonts w:cs="Arial"/>
          <w:szCs w:val="18"/>
        </w:rPr>
        <w:t>.</w:t>
      </w:r>
    </w:p>
    <w:p w:rsidR="00452728" w:rsidRPr="000B0C5A" w:rsidRDefault="00452728" w:rsidP="00452728">
      <w:pPr>
        <w:pStyle w:val="PargrafodaLista"/>
        <w:ind w:left="0"/>
        <w:jc w:val="both"/>
        <w:rPr>
          <w:rFonts w:ascii="Arial" w:hAnsi="Arial" w:cs="Arial"/>
          <w:sz w:val="18"/>
          <w:szCs w:val="18"/>
        </w:rPr>
      </w:pPr>
    </w:p>
    <w:sectPr w:rsidR="00452728" w:rsidRPr="000B0C5A" w:rsidSect="00185546">
      <w:pgSz w:w="12240" w:h="15840"/>
      <w:pgMar w:top="1418" w:right="1701" w:bottom="1418"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268" w:rsidRDefault="00E65268">
      <w:r>
        <w:separator/>
      </w:r>
    </w:p>
  </w:endnote>
  <w:endnote w:type="continuationSeparator" w:id="0">
    <w:p w:rsidR="00E65268" w:rsidRDefault="00E65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EE7" w:rsidRDefault="00305EE7">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305EE7" w:rsidRDefault="00305EE7">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EE7" w:rsidRDefault="00305EE7">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52728">
      <w:rPr>
        <w:rStyle w:val="Nmerodepgina"/>
        <w:noProof/>
      </w:rPr>
      <w:t>37</w:t>
    </w:r>
    <w:r>
      <w:rPr>
        <w:rStyle w:val="Nmerodepgina"/>
      </w:rPr>
      <w:fldChar w:fldCharType="end"/>
    </w:r>
  </w:p>
  <w:p w:rsidR="00305EE7" w:rsidRPr="00DD6CAC" w:rsidRDefault="00DD6CAC">
    <w:pPr>
      <w:pStyle w:val="Rodap"/>
      <w:ind w:right="360"/>
      <w:rPr>
        <w:rFonts w:ascii="Arial" w:hAnsi="Arial" w:cs="Arial"/>
        <w:sz w:val="18"/>
        <w:szCs w:val="18"/>
      </w:rPr>
    </w:pPr>
    <w:r w:rsidRPr="00DD6CAC">
      <w:rPr>
        <w:rFonts w:ascii="Arial" w:hAnsi="Arial" w:cs="Arial"/>
        <w:sz w:val="18"/>
        <w:szCs w:val="18"/>
      </w:rPr>
      <w:t>LUIZCGUTIERREZ@GLOBO.COM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268" w:rsidRDefault="00E65268">
      <w:r>
        <w:separator/>
      </w:r>
    </w:p>
  </w:footnote>
  <w:footnote w:type="continuationSeparator" w:id="0">
    <w:p w:rsidR="00E65268" w:rsidRDefault="00E65268">
      <w:r>
        <w:continuationSeparator/>
      </w:r>
    </w:p>
  </w:footnote>
  <w:footnote w:id="1">
    <w:p w:rsidR="00305EE7" w:rsidRPr="006027B1" w:rsidRDefault="00305EE7" w:rsidP="006027B1">
      <w:pPr>
        <w:pStyle w:val="Textodenotaderodap"/>
        <w:rPr>
          <w:rFonts w:ascii="Arial" w:hAnsi="Arial" w:cs="Arial"/>
          <w:b w:val="0"/>
          <w:sz w:val="16"/>
          <w:szCs w:val="16"/>
          <w14:shadow w14:blurRad="0" w14:dist="0" w14:dir="0" w14:sx="0" w14:sy="0" w14:kx="0" w14:ky="0" w14:algn="none">
            <w14:srgbClr w14:val="000000"/>
          </w14:shadow>
        </w:rPr>
      </w:pPr>
      <w:r>
        <w:rPr>
          <w:rStyle w:val="Refdenotaderodap"/>
          <w:rFonts w:eastAsiaTheme="minorEastAsia"/>
        </w:rPr>
        <w:footnoteRef/>
      </w:r>
      <w:r>
        <w:t xml:space="preserve"> </w:t>
      </w:r>
      <w:r w:rsidRPr="006027B1">
        <w:rPr>
          <w:rFonts w:ascii="Arial" w:hAnsi="Arial" w:cs="Arial"/>
          <w:b w:val="0"/>
          <w:sz w:val="16"/>
          <w:szCs w:val="16"/>
          <w14:shadow w14:blurRad="0" w14:dist="0" w14:dir="0" w14:sx="0" w14:sy="0" w14:kx="0" w14:ky="0" w14:algn="none">
            <w14:srgbClr w14:val="000000"/>
          </w14:shadow>
        </w:rPr>
        <w:t>Tal argumento elimina a crítica, baseada nos princípios de subaditividade de custo e sobreaditividade de produto, de que dada a característica do sistema hidrotérmico brasileiro é uma falácia dizer que existe competição no segmento de geração, uma vez que a formação de preços é originada de um modelo de otimização (4). Portanto, se comporta como um monopólio natural. Entretanto, se é colocada a competição pelo mercado e não na competição no mercado a afirmativa anterior é descaracterizada pois a mesma não é realizada no mercado spot.</w:t>
      </w:r>
    </w:p>
  </w:footnote>
  <w:footnote w:id="2">
    <w:p w:rsidR="00305EE7" w:rsidRDefault="00305EE7" w:rsidP="006027B1">
      <w:pPr>
        <w:pStyle w:val="Textodenotaderodap"/>
      </w:pPr>
      <w:r w:rsidRPr="006027B1">
        <w:rPr>
          <w:rStyle w:val="Refdenotaderodap"/>
          <w:rFonts w:ascii="Arial" w:eastAsiaTheme="minorEastAsia" w:hAnsi="Arial" w:cs="Arial"/>
          <w:b w:val="0"/>
          <w:sz w:val="16"/>
          <w:szCs w:val="16"/>
          <w14:shadow w14:blurRad="0" w14:dist="0" w14:dir="0" w14:sx="0" w14:sy="0" w14:kx="0" w14:ky="0" w14:algn="none">
            <w14:srgbClr w14:val="000000"/>
          </w14:shadow>
        </w:rPr>
        <w:footnoteRef/>
      </w:r>
      <w:r w:rsidRPr="006027B1">
        <w:rPr>
          <w:rFonts w:ascii="Arial" w:hAnsi="Arial" w:cs="Arial"/>
          <w:b w:val="0"/>
          <w:sz w:val="16"/>
          <w:szCs w:val="16"/>
          <w14:shadow w14:blurRad="0" w14:dist="0" w14:dir="0" w14:sx="0" w14:sy="0" w14:kx="0" w14:ky="0" w14:algn="none">
            <w14:srgbClr w14:val="000000"/>
          </w14:shadow>
        </w:rPr>
        <w:t xml:space="preserve"> Outro fator de perda pode ser constatado nos contratos relativos a acordos internacionais de integração energética os quais foram violados seja por desapropriação de ativos (Bolívia) seja por racionamento de energia importada (Venezuela).</w:t>
      </w:r>
    </w:p>
  </w:footnote>
  <w:footnote w:id="3">
    <w:p w:rsidR="00305EE7" w:rsidRPr="00D8788B" w:rsidRDefault="00305EE7" w:rsidP="00D8788B">
      <w:pPr>
        <w:rPr>
          <w:rFonts w:ascii="Arial" w:hAnsi="Arial" w:cs="Arial"/>
          <w:sz w:val="16"/>
          <w:szCs w:val="16"/>
        </w:rPr>
      </w:pPr>
      <w:r>
        <w:rPr>
          <w:rStyle w:val="Refdenotaderodap"/>
        </w:rPr>
        <w:footnoteRef/>
      </w:r>
      <w:r>
        <w:t xml:space="preserve"> </w:t>
      </w:r>
      <w:r w:rsidRPr="00D8788B">
        <w:rPr>
          <w:rFonts w:ascii="Arial" w:hAnsi="Arial" w:cs="Arial"/>
          <w:sz w:val="16"/>
          <w:szCs w:val="16"/>
        </w:rPr>
        <w:t>Define-se custos fixos aqueles gastos que não variam com a atividade realizada dentro de uma faixa determinada de volume de produção, ao contrário dos custos variáveis.</w:t>
      </w:r>
    </w:p>
  </w:footnote>
  <w:footnote w:id="4">
    <w:p w:rsidR="00305EE7" w:rsidRPr="00D8788B" w:rsidRDefault="00305EE7" w:rsidP="00FF0A40">
      <w:pPr>
        <w:pStyle w:val="Textodenotaderodap"/>
        <w:spacing w:after="0"/>
        <w:rPr>
          <w:rFonts w:ascii="Arial" w:hAnsi="Arial" w:cs="Arial"/>
          <w:b w:val="0"/>
          <w14:shadow w14:blurRad="0" w14:dist="0" w14:dir="0" w14:sx="0" w14:sy="0" w14:kx="0" w14:ky="0" w14:algn="none">
            <w14:srgbClr w14:val="000000"/>
          </w14:shadow>
        </w:rPr>
      </w:pPr>
      <w:r>
        <w:rPr>
          <w:rStyle w:val="Refdenotaderodap"/>
        </w:rPr>
        <w:footnoteRef/>
      </w:r>
      <w:r>
        <w:t xml:space="preserve"> </w:t>
      </w:r>
      <w:r w:rsidRPr="00D8788B">
        <w:rPr>
          <w:rFonts w:ascii="Arial" w:hAnsi="Arial" w:cs="Arial"/>
          <w:b w:val="0"/>
          <w14:shadow w14:blurRad="0" w14:dist="0" w14:dir="0" w14:sx="0" w14:sy="0" w14:kx="0" w14:ky="0" w14:algn="none">
            <w14:srgbClr w14:val="000000"/>
          </w14:shadow>
        </w:rPr>
        <w:t>No caso da UTE  não ser integrada ao sistema temos FCesp = FCmáx.</w:t>
      </w:r>
    </w:p>
  </w:footnote>
  <w:footnote w:id="5">
    <w:p w:rsidR="00305EE7" w:rsidRPr="00CA222B" w:rsidRDefault="00305EE7" w:rsidP="00FF0A40">
      <w:pPr>
        <w:pStyle w:val="Textodenotaderodap"/>
        <w:spacing w:after="0"/>
        <w:rPr>
          <w14:shadow w14:blurRad="0" w14:dist="0" w14:dir="0" w14:sx="0" w14:sy="0" w14:kx="0" w14:ky="0" w14:algn="none">
            <w14:srgbClr w14:val="000000"/>
          </w14:shadow>
        </w:rPr>
      </w:pPr>
      <w:r>
        <w:rPr>
          <w:rStyle w:val="Refdenotaderodap"/>
        </w:rPr>
        <w:footnoteRef/>
      </w:r>
      <w:r>
        <w:t xml:space="preserve"> </w:t>
      </w:r>
      <w:r w:rsidRPr="00CA222B">
        <w:rPr>
          <w:rFonts w:ascii="Arial" w:hAnsi="Arial" w:cs="Arial"/>
          <w:b w:val="0"/>
          <w14:shadow w14:blurRad="0" w14:dist="0" w14:dir="0" w14:sx="0" w14:sy="0" w14:kx="0" w14:ky="0" w14:algn="none">
            <w14:srgbClr w14:val="000000"/>
          </w14:shadow>
        </w:rPr>
        <w:t>O gasto total de combustível é obtido por modelo de simulação.</w:t>
      </w:r>
      <w:r w:rsidRPr="00CA222B">
        <w:rPr>
          <w14:shadow w14:blurRad="0" w14:dist="0" w14:dir="0" w14:sx="0" w14:sy="0" w14:kx="0" w14:ky="0" w14:algn="none">
            <w14:srgbClr w14:val="000000"/>
          </w14:shadow>
        </w:rPr>
        <w:t xml:space="preserve"> </w:t>
      </w:r>
    </w:p>
  </w:footnote>
  <w:footnote w:id="6">
    <w:p w:rsidR="00305EE7" w:rsidRPr="00B36CD6" w:rsidRDefault="00305EE7" w:rsidP="009147ED">
      <w:pPr>
        <w:pStyle w:val="Textodenotaderodap"/>
        <w:rPr>
          <w:rFonts w:ascii="Arial" w:hAnsi="Arial" w:cs="Arial"/>
          <w:b w:val="0"/>
          <w14:shadow w14:blurRad="0" w14:dist="0" w14:dir="0" w14:sx="0" w14:sy="0" w14:kx="0" w14:ky="0" w14:algn="none">
            <w14:srgbClr w14:val="000000"/>
          </w14:shadow>
        </w:rPr>
      </w:pPr>
      <w:r>
        <w:rPr>
          <w:rStyle w:val="Refdenotaderodap"/>
        </w:rPr>
        <w:footnoteRef/>
      </w:r>
      <w:r>
        <w:t xml:space="preserve"> </w:t>
      </w:r>
      <w:r w:rsidRPr="00B36CD6">
        <w:rPr>
          <w:rFonts w:ascii="Arial" w:hAnsi="Arial" w:cs="Arial"/>
          <w:b w:val="0"/>
          <w14:shadow w14:blurRad="0" w14:dist="0" w14:dir="0" w14:sx="0" w14:sy="0" w14:kx="0" w14:ky="0" w14:algn="none">
            <w14:srgbClr w14:val="000000"/>
          </w14:shadow>
        </w:rPr>
        <w:t>Definida como a relação entre as quantidades de vários insumos utilizados nem determinado período de tempo e a quantidade máxima de uma determinada mercadoria que pode ser produzida no mesmo intervalo de tempo.</w:t>
      </w:r>
    </w:p>
  </w:footnote>
  <w:footnote w:id="7">
    <w:p w:rsidR="00305EE7" w:rsidRPr="00667572" w:rsidRDefault="00305EE7" w:rsidP="00597F41">
      <w:pPr>
        <w:pStyle w:val="Textodenotaderodap"/>
        <w:rPr>
          <w:rFonts w:ascii="Arial" w:hAnsi="Arial" w:cs="Arial"/>
          <w:b w:val="0"/>
          <w14:shadow w14:blurRad="0" w14:dist="0" w14:dir="0" w14:sx="0" w14:sy="0" w14:kx="0" w14:ky="0" w14:algn="none">
            <w14:srgbClr w14:val="000000"/>
          </w14:shadow>
        </w:rPr>
      </w:pPr>
      <w:r>
        <w:rPr>
          <w:rStyle w:val="Refdenotaderodap"/>
        </w:rPr>
        <w:footnoteRef/>
      </w:r>
      <w:r>
        <w:t xml:space="preserve"> </w:t>
      </w:r>
      <w:r w:rsidRPr="00667572">
        <w:rPr>
          <w:rFonts w:ascii="Arial" w:hAnsi="Arial" w:cs="Arial"/>
          <w:b w:val="0"/>
          <w14:shadow w14:blurRad="0" w14:dist="0" w14:dir="0" w14:sx="0" w14:sy="0" w14:kx="0" w14:ky="0" w14:algn="none">
            <w14:srgbClr w14:val="000000"/>
          </w14:shadow>
        </w:rPr>
        <w:t>Considerou-se satisfeitas as condições de 2</w:t>
      </w:r>
      <w:r w:rsidRPr="00667572">
        <w:rPr>
          <w:rFonts w:ascii="Arial" w:hAnsi="Arial" w:cs="Arial"/>
          <w:b w:val="0"/>
          <w:u w:val="single"/>
          <w:vertAlign w:val="superscript"/>
          <w14:shadow w14:blurRad="0" w14:dist="0" w14:dir="0" w14:sx="0" w14:sy="0" w14:kx="0" w14:ky="0" w14:algn="none">
            <w14:srgbClr w14:val="000000"/>
          </w14:shadow>
        </w:rPr>
        <w:t>a</w:t>
      </w:r>
      <w:r w:rsidRPr="00667572">
        <w:rPr>
          <w:rFonts w:ascii="Arial" w:hAnsi="Arial" w:cs="Arial"/>
          <w:b w:val="0"/>
          <w14:shadow w14:blurRad="0" w14:dist="0" w14:dir="0" w14:sx="0" w14:sy="0" w14:kx="0" w14:ky="0" w14:algn="none">
            <w14:srgbClr w14:val="000000"/>
          </w14:shadow>
        </w:rPr>
        <w:t xml:space="preserve"> ordem.</w:t>
      </w:r>
    </w:p>
  </w:footnote>
  <w:footnote w:id="8">
    <w:p w:rsidR="00305EE7" w:rsidRPr="00667572" w:rsidRDefault="00305EE7" w:rsidP="00597F41">
      <w:pPr>
        <w:pStyle w:val="Textodenotaderodap"/>
        <w:rPr>
          <w:rFonts w:ascii="Arial" w:hAnsi="Arial" w:cs="Arial"/>
          <w:b w:val="0"/>
          <w14:shadow w14:blurRad="0" w14:dist="0" w14:dir="0" w14:sx="0" w14:sy="0" w14:kx="0" w14:ky="0" w14:algn="none">
            <w14:srgbClr w14:val="000000"/>
          </w14:shadow>
        </w:rPr>
      </w:pPr>
      <w:r w:rsidRPr="00667572">
        <w:rPr>
          <w:rStyle w:val="Refdenotaderodap"/>
          <w:rFonts w:ascii="Arial" w:hAnsi="Arial" w:cs="Arial"/>
          <w:b w:val="0"/>
          <w14:shadow w14:blurRad="0" w14:dist="0" w14:dir="0" w14:sx="0" w14:sy="0" w14:kx="0" w14:ky="0" w14:algn="none">
            <w14:srgbClr w14:val="000000"/>
          </w14:shadow>
        </w:rPr>
        <w:footnoteRef/>
      </w:r>
      <w:r w:rsidRPr="00667572">
        <w:rPr>
          <w:rFonts w:ascii="Arial" w:hAnsi="Arial" w:cs="Arial"/>
          <w:b w:val="0"/>
          <w14:shadow w14:blurRad="0" w14:dist="0" w14:dir="0" w14:sx="0" w14:sy="0" w14:kx="0" w14:ky="0" w14:algn="none">
            <w14:srgbClr w14:val="000000"/>
          </w14:shadow>
        </w:rPr>
        <w:t xml:space="preserve"> No curto prazo a capacidade é fixada, isto é, CT</w:t>
      </w:r>
      <w:r w:rsidRPr="00667572">
        <w:rPr>
          <w:rFonts w:ascii="Arial" w:hAnsi="Arial" w:cs="Arial"/>
          <w:b w:val="0"/>
          <w:vertAlign w:val="subscript"/>
          <w14:shadow w14:blurRad="0" w14:dist="0" w14:dir="0" w14:sx="0" w14:sy="0" w14:kx="0" w14:ky="0" w14:algn="none">
            <w14:srgbClr w14:val="000000"/>
          </w14:shadow>
        </w:rPr>
        <w:t>CP</w:t>
      </w:r>
      <w:r w:rsidRPr="00667572">
        <w:rPr>
          <w:rFonts w:ascii="Arial" w:hAnsi="Arial" w:cs="Arial"/>
          <w:b w:val="0"/>
          <w14:shadow w14:blurRad="0" w14:dist="0" w14:dir="0" w14:sx="0" w14:sy="0" w14:kx="0" w14:ky="0" w14:algn="none">
            <w14:srgbClr w14:val="000000"/>
          </w14:shadow>
        </w:rPr>
        <w:t>=h(GT,D).</w:t>
      </w:r>
    </w:p>
  </w:footnote>
  <w:footnote w:id="9">
    <w:p w:rsidR="00305EE7" w:rsidRPr="00836367" w:rsidRDefault="00305EE7" w:rsidP="00597F41">
      <w:pPr>
        <w:pStyle w:val="Textodenotaderodap"/>
        <w:rPr>
          <w:rFonts w:ascii="Arial" w:hAnsi="Arial" w:cs="Arial"/>
          <w:b w:val="0"/>
          <w14:shadow w14:blurRad="0" w14:dist="0" w14:dir="0" w14:sx="0" w14:sy="0" w14:kx="0" w14:ky="0" w14:algn="none">
            <w14:srgbClr w14:val="000000"/>
          </w14:shadow>
        </w:rPr>
      </w:pPr>
      <w:r w:rsidRPr="00667572">
        <w:rPr>
          <w:rStyle w:val="Refdenotaderodap"/>
          <w:rFonts w:ascii="Arial" w:hAnsi="Arial" w:cs="Arial"/>
          <w:b w:val="0"/>
          <w14:shadow w14:blurRad="0" w14:dist="0" w14:dir="0" w14:sx="0" w14:sy="0" w14:kx="0" w14:ky="0" w14:algn="none">
            <w14:srgbClr w14:val="000000"/>
          </w14:shadow>
        </w:rPr>
        <w:footnoteRef/>
      </w:r>
      <w:r w:rsidRPr="00667572">
        <w:rPr>
          <w:rFonts w:ascii="Arial" w:hAnsi="Arial" w:cs="Arial"/>
          <w:b w:val="0"/>
          <w14:shadow w14:blurRad="0" w14:dist="0" w14:dir="0" w14:sx="0" w14:sy="0" w14:kx="0" w14:ky="0" w14:algn="none">
            <w14:srgbClr w14:val="000000"/>
          </w14:shadow>
        </w:rPr>
        <w:t xml:space="preserve"> Se Z = f(x,y,w), enquanto x=g(t), y=h(t) e w=i(t), então define-se derivada de Z em relação a t, chamada de derivada total, por:</w:t>
      </w:r>
      <w:r w:rsidR="00836367">
        <w:rPr>
          <w:rFonts w:ascii="Arial" w:hAnsi="Arial" w:cs="Arial"/>
          <w:b w:val="0"/>
          <w14:shadow w14:blurRad="0" w14:dist="0" w14:dir="0" w14:sx="0" w14:sy="0" w14:kx="0" w14:ky="0" w14:algn="none">
            <w14:srgbClr w14:val="000000"/>
          </w14:shadow>
        </w:rPr>
        <w:t xml:space="preserve"> </w:t>
      </w:r>
      <m:oMath>
        <m:f>
          <m:fPr>
            <m:ctrlPr>
              <w:rPr>
                <w:rFonts w:ascii="Cambria Math" w:hAnsi="Cambria Math" w:cs="Arial"/>
                <w:b w:val="0"/>
                <w:sz w:val="28"/>
                <w:szCs w:val="28"/>
                <w14:shadow w14:blurRad="0" w14:dist="0" w14:dir="0" w14:sx="0" w14:sy="0" w14:kx="0" w14:ky="0" w14:algn="none">
                  <w14:srgbClr w14:val="000000"/>
                </w14:shadow>
              </w:rPr>
            </m:ctrlPr>
          </m:fPr>
          <m:num>
            <m:r>
              <m:rPr>
                <m:sty m:val="b"/>
              </m:rPr>
              <w:rPr>
                <w:rFonts w:ascii="Cambria Math" w:hAnsi="Cambria Math" w:cs="Arial"/>
                <w:sz w:val="28"/>
                <w:szCs w:val="28"/>
                <w14:shadow w14:blurRad="0" w14:dist="0" w14:dir="0" w14:sx="0" w14:sy="0" w14:kx="0" w14:ky="0" w14:algn="none">
                  <w14:srgbClr w14:val="000000"/>
                </w14:shadow>
              </w:rPr>
              <m:t>∂Z</m:t>
            </m:r>
          </m:num>
          <m:den>
            <m:r>
              <m:rPr>
                <m:sty m:val="b"/>
              </m:rPr>
              <w:rPr>
                <w:rFonts w:ascii="Cambria Math" w:hAnsi="Cambria Math" w:cs="Arial"/>
                <w:sz w:val="28"/>
                <w:szCs w:val="28"/>
                <w14:shadow w14:blurRad="0" w14:dist="0" w14:dir="0" w14:sx="0" w14:sy="0" w14:kx="0" w14:ky="0" w14:algn="none">
                  <w14:srgbClr w14:val="000000"/>
                </w14:shadow>
              </w:rPr>
              <m:t>dt</m:t>
            </m:r>
          </m:den>
        </m:f>
        <m:r>
          <m:rPr>
            <m:sty m:val="b"/>
          </m:rPr>
          <w:rPr>
            <w:rFonts w:ascii="Cambria Math" w:hAnsi="Cambria Math" w:cs="Arial"/>
            <w:sz w:val="28"/>
            <w:szCs w:val="28"/>
            <w14:shadow w14:blurRad="0" w14:dist="0" w14:dir="0" w14:sx="0" w14:sy="0" w14:kx="0" w14:ky="0" w14:algn="none">
              <w14:srgbClr w14:val="000000"/>
            </w14:shadow>
          </w:rPr>
          <m:t>=</m:t>
        </m:r>
        <m:f>
          <m:fPr>
            <m:ctrlPr>
              <w:rPr>
                <w:rFonts w:ascii="Cambria Math" w:hAnsi="Cambria Math" w:cs="Arial"/>
                <w:b w:val="0"/>
                <w:sz w:val="28"/>
                <w:szCs w:val="28"/>
                <w14:shadow w14:blurRad="0" w14:dist="0" w14:dir="0" w14:sx="0" w14:sy="0" w14:kx="0" w14:ky="0" w14:algn="none">
                  <w14:srgbClr w14:val="000000"/>
                </w14:shadow>
              </w:rPr>
            </m:ctrlPr>
          </m:fPr>
          <m:num>
            <m:r>
              <m:rPr>
                <m:sty m:val="b"/>
              </m:rPr>
              <w:rPr>
                <w:rFonts w:ascii="Cambria Math" w:hAnsi="Cambria Math" w:cs="Arial"/>
                <w:sz w:val="28"/>
                <w:szCs w:val="28"/>
                <w14:shadow w14:blurRad="0" w14:dist="0" w14:dir="0" w14:sx="0" w14:sy="0" w14:kx="0" w14:ky="0" w14:algn="none">
                  <w14:srgbClr w14:val="000000"/>
                </w14:shadow>
              </w:rPr>
              <m:t>∂Z</m:t>
            </m:r>
          </m:num>
          <m:den>
            <m:r>
              <m:rPr>
                <m:sty m:val="b"/>
              </m:rPr>
              <w:rPr>
                <w:rFonts w:ascii="Cambria Math" w:hAnsi="Cambria Math" w:cs="Arial"/>
                <w:sz w:val="28"/>
                <w:szCs w:val="28"/>
                <w14:shadow w14:blurRad="0" w14:dist="0" w14:dir="0" w14:sx="0" w14:sy="0" w14:kx="0" w14:ky="0" w14:algn="none">
                  <w14:srgbClr w14:val="000000"/>
                </w14:shadow>
              </w:rPr>
              <m:t>∂g</m:t>
            </m:r>
          </m:den>
        </m:f>
        <m:f>
          <m:fPr>
            <m:ctrlPr>
              <w:rPr>
                <w:rFonts w:ascii="Cambria Math" w:hAnsi="Cambria Math" w:cs="Arial"/>
                <w:b w:val="0"/>
                <w:sz w:val="28"/>
                <w:szCs w:val="28"/>
                <w14:shadow w14:blurRad="0" w14:dist="0" w14:dir="0" w14:sx="0" w14:sy="0" w14:kx="0" w14:ky="0" w14:algn="none">
                  <w14:srgbClr w14:val="000000"/>
                </w14:shadow>
              </w:rPr>
            </m:ctrlPr>
          </m:fPr>
          <m:num>
            <m:r>
              <m:rPr>
                <m:sty m:val="b"/>
              </m:rPr>
              <w:rPr>
                <w:rFonts w:ascii="Cambria Math" w:hAnsi="Cambria Math" w:cs="Arial"/>
                <w:sz w:val="28"/>
                <w:szCs w:val="28"/>
                <w14:shadow w14:blurRad="0" w14:dist="0" w14:dir="0" w14:sx="0" w14:sy="0" w14:kx="0" w14:ky="0" w14:algn="none">
                  <w14:srgbClr w14:val="000000"/>
                </w14:shadow>
              </w:rPr>
              <m:t>∂g</m:t>
            </m:r>
          </m:num>
          <m:den>
            <m:r>
              <m:rPr>
                <m:sty m:val="b"/>
              </m:rPr>
              <w:rPr>
                <w:rFonts w:ascii="Cambria Math" w:hAnsi="Cambria Math" w:cs="Arial"/>
                <w:sz w:val="28"/>
                <w:szCs w:val="28"/>
                <w14:shadow w14:blurRad="0" w14:dist="0" w14:dir="0" w14:sx="0" w14:sy="0" w14:kx="0" w14:ky="0" w14:algn="none">
                  <w14:srgbClr w14:val="000000"/>
                </w14:shadow>
              </w:rPr>
              <m:t>∂t</m:t>
            </m:r>
          </m:den>
        </m:f>
        <m:r>
          <m:rPr>
            <m:sty m:val="b"/>
          </m:rPr>
          <w:rPr>
            <w:rFonts w:ascii="Cambria Math" w:hAnsi="Cambria Math" w:cs="Arial"/>
            <w:sz w:val="28"/>
            <w:szCs w:val="28"/>
            <w14:shadow w14:blurRad="0" w14:dist="0" w14:dir="0" w14:sx="0" w14:sy="0" w14:kx="0" w14:ky="0" w14:algn="none">
              <w14:srgbClr w14:val="000000"/>
            </w14:shadow>
          </w:rPr>
          <m:t>+</m:t>
        </m:r>
        <m:f>
          <m:fPr>
            <m:ctrlPr>
              <w:rPr>
                <w:rFonts w:ascii="Cambria Math" w:hAnsi="Cambria Math" w:cs="Arial"/>
                <w:b w:val="0"/>
                <w:sz w:val="28"/>
                <w:szCs w:val="28"/>
                <w14:shadow w14:blurRad="0" w14:dist="0" w14:dir="0" w14:sx="0" w14:sy="0" w14:kx="0" w14:ky="0" w14:algn="none">
                  <w14:srgbClr w14:val="000000"/>
                </w14:shadow>
              </w:rPr>
            </m:ctrlPr>
          </m:fPr>
          <m:num>
            <m:r>
              <m:rPr>
                <m:sty m:val="b"/>
              </m:rPr>
              <w:rPr>
                <w:rFonts w:ascii="Cambria Math" w:hAnsi="Cambria Math" w:cs="Arial"/>
                <w:sz w:val="28"/>
                <w:szCs w:val="28"/>
                <w14:shadow w14:blurRad="0" w14:dist="0" w14:dir="0" w14:sx="0" w14:sy="0" w14:kx="0" w14:ky="0" w14:algn="none">
                  <w14:srgbClr w14:val="000000"/>
                </w14:shadow>
              </w:rPr>
              <m:t>∂Z</m:t>
            </m:r>
          </m:num>
          <m:den>
            <m:r>
              <m:rPr>
                <m:sty m:val="b"/>
              </m:rPr>
              <w:rPr>
                <w:rFonts w:ascii="Cambria Math" w:hAnsi="Cambria Math" w:cs="Arial"/>
                <w:sz w:val="28"/>
                <w:szCs w:val="28"/>
                <w14:shadow w14:blurRad="0" w14:dist="0" w14:dir="0" w14:sx="0" w14:sy="0" w14:kx="0" w14:ky="0" w14:algn="none">
                  <w14:srgbClr w14:val="000000"/>
                </w14:shadow>
              </w:rPr>
              <m:t>∂h</m:t>
            </m:r>
          </m:den>
        </m:f>
        <m:f>
          <m:fPr>
            <m:ctrlPr>
              <w:rPr>
                <w:rFonts w:ascii="Cambria Math" w:hAnsi="Cambria Math" w:cs="Arial"/>
                <w:b w:val="0"/>
                <w:sz w:val="28"/>
                <w:szCs w:val="28"/>
                <w14:shadow w14:blurRad="0" w14:dist="0" w14:dir="0" w14:sx="0" w14:sy="0" w14:kx="0" w14:ky="0" w14:algn="none">
                  <w14:srgbClr w14:val="000000"/>
                </w14:shadow>
              </w:rPr>
            </m:ctrlPr>
          </m:fPr>
          <m:num>
            <m:r>
              <m:rPr>
                <m:sty m:val="b"/>
              </m:rPr>
              <w:rPr>
                <w:rFonts w:ascii="Cambria Math" w:hAnsi="Cambria Math" w:cs="Arial"/>
                <w:sz w:val="28"/>
                <w:szCs w:val="28"/>
                <w14:shadow w14:blurRad="0" w14:dist="0" w14:dir="0" w14:sx="0" w14:sy="0" w14:kx="0" w14:ky="0" w14:algn="none">
                  <w14:srgbClr w14:val="000000"/>
                </w14:shadow>
              </w:rPr>
              <m:t>∂h</m:t>
            </m:r>
          </m:num>
          <m:den>
            <m:r>
              <m:rPr>
                <m:sty m:val="b"/>
              </m:rPr>
              <w:rPr>
                <w:rFonts w:ascii="Cambria Math" w:hAnsi="Cambria Math" w:cs="Arial"/>
                <w:sz w:val="28"/>
                <w:szCs w:val="28"/>
                <w14:shadow w14:blurRad="0" w14:dist="0" w14:dir="0" w14:sx="0" w14:sy="0" w14:kx="0" w14:ky="0" w14:algn="none">
                  <w14:srgbClr w14:val="000000"/>
                </w14:shadow>
              </w:rPr>
              <m:t>∂t</m:t>
            </m:r>
          </m:den>
        </m:f>
        <m:r>
          <m:rPr>
            <m:sty m:val="b"/>
          </m:rPr>
          <w:rPr>
            <w:rFonts w:ascii="Cambria Math" w:hAnsi="Cambria Math" w:cs="Arial"/>
            <w:sz w:val="28"/>
            <w:szCs w:val="28"/>
            <w14:shadow w14:blurRad="0" w14:dist="0" w14:dir="0" w14:sx="0" w14:sy="0" w14:kx="0" w14:ky="0" w14:algn="none">
              <w14:srgbClr w14:val="000000"/>
            </w14:shadow>
          </w:rPr>
          <m:t>+</m:t>
        </m:r>
        <m:f>
          <m:fPr>
            <m:ctrlPr>
              <w:rPr>
                <w:rFonts w:ascii="Cambria Math" w:hAnsi="Cambria Math" w:cs="Arial"/>
                <w:b w:val="0"/>
                <w:sz w:val="28"/>
                <w:szCs w:val="28"/>
                <w14:shadow w14:blurRad="0" w14:dist="0" w14:dir="0" w14:sx="0" w14:sy="0" w14:kx="0" w14:ky="0" w14:algn="none">
                  <w14:srgbClr w14:val="000000"/>
                </w14:shadow>
              </w:rPr>
            </m:ctrlPr>
          </m:fPr>
          <m:num>
            <m:r>
              <m:rPr>
                <m:sty m:val="b"/>
              </m:rPr>
              <w:rPr>
                <w:rFonts w:ascii="Cambria Math" w:hAnsi="Cambria Math" w:cs="Arial"/>
                <w:sz w:val="28"/>
                <w:szCs w:val="28"/>
                <w14:shadow w14:blurRad="0" w14:dist="0" w14:dir="0" w14:sx="0" w14:sy="0" w14:kx="0" w14:ky="0" w14:algn="none">
                  <w14:srgbClr w14:val="000000"/>
                </w14:shadow>
              </w:rPr>
              <m:t>∂Z</m:t>
            </m:r>
          </m:num>
          <m:den>
            <m:r>
              <m:rPr>
                <m:sty m:val="b"/>
              </m:rPr>
              <w:rPr>
                <w:rFonts w:ascii="Cambria Math" w:hAnsi="Cambria Math" w:cs="Arial"/>
                <w:sz w:val="28"/>
                <w:szCs w:val="28"/>
                <w14:shadow w14:blurRad="0" w14:dist="0" w14:dir="0" w14:sx="0" w14:sy="0" w14:kx="0" w14:ky="0" w14:algn="none">
                  <w14:srgbClr w14:val="000000"/>
                </w14:shadow>
              </w:rPr>
              <m:t>∂i</m:t>
            </m:r>
          </m:den>
        </m:f>
        <m:f>
          <m:fPr>
            <m:ctrlPr>
              <w:rPr>
                <w:rFonts w:ascii="Cambria Math" w:hAnsi="Cambria Math" w:cs="Arial"/>
                <w:b w:val="0"/>
                <w:sz w:val="28"/>
                <w:szCs w:val="28"/>
                <w14:shadow w14:blurRad="0" w14:dist="0" w14:dir="0" w14:sx="0" w14:sy="0" w14:kx="0" w14:ky="0" w14:algn="none">
                  <w14:srgbClr w14:val="000000"/>
                </w14:shadow>
              </w:rPr>
            </m:ctrlPr>
          </m:fPr>
          <m:num>
            <m:r>
              <m:rPr>
                <m:sty m:val="b"/>
              </m:rPr>
              <w:rPr>
                <w:rFonts w:ascii="Cambria Math" w:hAnsi="Cambria Math" w:cs="Arial"/>
                <w:sz w:val="28"/>
                <w:szCs w:val="28"/>
                <w14:shadow w14:blurRad="0" w14:dist="0" w14:dir="0" w14:sx="0" w14:sy="0" w14:kx="0" w14:ky="0" w14:algn="none">
                  <w14:srgbClr w14:val="000000"/>
                </w14:shadow>
              </w:rPr>
              <m:t>∂i</m:t>
            </m:r>
          </m:num>
          <m:den>
            <m:r>
              <m:rPr>
                <m:sty m:val="b"/>
              </m:rPr>
              <w:rPr>
                <w:rFonts w:ascii="Cambria Math" w:hAnsi="Cambria Math" w:cs="Arial"/>
                <w:sz w:val="28"/>
                <w:szCs w:val="28"/>
                <w14:shadow w14:blurRad="0" w14:dist="0" w14:dir="0" w14:sx="0" w14:sy="0" w14:kx="0" w14:ky="0" w14:algn="none">
                  <w14:srgbClr w14:val="000000"/>
                </w14:shadow>
              </w:rPr>
              <m:t>∂t</m:t>
            </m:r>
          </m:den>
        </m:f>
      </m:oMath>
    </w:p>
    <w:p w:rsidR="00305EE7" w:rsidRPr="00667572" w:rsidRDefault="00305EE7" w:rsidP="00597F41">
      <w:pPr>
        <w:pStyle w:val="Textodenotaderodap"/>
        <w:rPr>
          <w:rFonts w:ascii="Arial" w:hAnsi="Arial" w:cs="Arial"/>
          <w:b w:val="0"/>
          <w14:shadow w14:blurRad="0" w14:dist="0" w14:dir="0" w14:sx="0" w14:sy="0" w14:kx="0" w14:ky="0" w14:algn="none">
            <w14:srgbClr w14:val="000000"/>
          </w14:shadow>
        </w:rPr>
      </w:pPr>
    </w:p>
  </w:footnote>
  <w:footnote w:id="10">
    <w:p w:rsidR="00305EE7" w:rsidRPr="00A16193" w:rsidRDefault="00305EE7" w:rsidP="00597F41">
      <w:pPr>
        <w:pStyle w:val="Textodenotaderodap"/>
        <w:rPr>
          <w:b w:val="0"/>
          <w14:shadow w14:blurRad="0" w14:dist="0" w14:dir="0" w14:sx="0" w14:sy="0" w14:kx="0" w14:ky="0" w14:algn="none">
            <w14:srgbClr w14:val="000000"/>
          </w14:shadow>
        </w:rPr>
      </w:pPr>
      <w:r>
        <w:rPr>
          <w:rStyle w:val="Refdenotaderodap"/>
        </w:rPr>
        <w:footnoteRef/>
      </w:r>
      <w:r>
        <w:t xml:space="preserve"> </w:t>
      </w:r>
      <w:r w:rsidRPr="00A16193">
        <w:rPr>
          <w:b w:val="0"/>
          <w14:shadow w14:blurRad="0" w14:dist="0" w14:dir="0" w14:sx="0" w14:sy="0" w14:kx="0" w14:ky="0" w14:algn="none">
            <w14:srgbClr w14:val="000000"/>
          </w14:shadow>
        </w:rPr>
        <w:t>As usinas em expansão, que entram no cálculo tanto do custo anual de investimento quanto no de operação e manutenção, são aquelas que entraram entre o 6</w:t>
      </w:r>
      <w:r w:rsidRPr="00A16193">
        <w:rPr>
          <w:b w:val="0"/>
          <w:u w:val="single"/>
          <w:vertAlign w:val="superscript"/>
          <w14:shadow w14:blurRad="0" w14:dist="0" w14:dir="0" w14:sx="0" w14:sy="0" w14:kx="0" w14:ky="0" w14:algn="none">
            <w14:srgbClr w14:val="000000"/>
          </w14:shadow>
        </w:rPr>
        <w:t>o</w:t>
      </w:r>
      <w:r w:rsidRPr="00A16193">
        <w:rPr>
          <w:b w:val="0"/>
          <w14:shadow w14:blurRad="0" w14:dist="0" w14:dir="0" w14:sx="0" w14:sy="0" w14:kx="0" w14:ky="0" w14:algn="none">
            <w14:srgbClr w14:val="000000"/>
          </w14:shadow>
        </w:rPr>
        <w:t xml:space="preserve"> e o 10</w:t>
      </w:r>
      <w:r w:rsidRPr="00A16193">
        <w:rPr>
          <w:b w:val="0"/>
          <w:u w:val="single"/>
          <w:vertAlign w:val="superscript"/>
          <w14:shadow w14:blurRad="0" w14:dist="0" w14:dir="0" w14:sx="0" w14:sy="0" w14:kx="0" w14:ky="0" w14:algn="none">
            <w14:srgbClr w14:val="000000"/>
          </w14:shadow>
        </w:rPr>
        <w:t>o</w:t>
      </w:r>
      <w:r w:rsidRPr="00A16193">
        <w:rPr>
          <w:b w:val="0"/>
          <w14:shadow w14:blurRad="0" w14:dist="0" w14:dir="0" w14:sx="0" w14:sy="0" w14:kx="0" w14:ky="0" w14:algn="none">
            <w14:srgbClr w14:val="000000"/>
          </w14:shadow>
        </w:rPr>
        <w:t xml:space="preserve"> ano do horizonte decenal de planejamento. A razão desta faixa vem do fato de que, sendo um sistema predominantemente hidrelétrico,  a decisão imediata de investir num projeto de geração hídrica iria repercutir num aumento da oferta de energia apenas daqui a aproximadamente 6 anos.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EE7" w:rsidRPr="0040435F" w:rsidRDefault="00305EE7">
    <w:pPr>
      <w:pStyle w:val="Cabealho"/>
      <w:rPr>
        <w:szCs w:val="22"/>
      </w:rPr>
    </w:pPr>
    <w:r w:rsidRPr="0040435F">
      <w:rPr>
        <w:szCs w:val="22"/>
      </w:rPr>
      <w:t>Contribuição sobre o critério de</w:t>
    </w:r>
    <w:r>
      <w:rPr>
        <w:szCs w:val="22"/>
      </w:rPr>
      <w:t xml:space="preserve"> garantia de suprimento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A510F"/>
    <w:multiLevelType w:val="hybridMultilevel"/>
    <w:tmpl w:val="C45EE214"/>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14885689"/>
    <w:multiLevelType w:val="hybridMultilevel"/>
    <w:tmpl w:val="FC666A88"/>
    <w:lvl w:ilvl="0" w:tplc="9DA44C2E">
      <w:start w:val="1"/>
      <w:numFmt w:val="lowerRoman"/>
      <w:lvlText w:val="%1)"/>
      <w:lvlJc w:val="left"/>
      <w:pPr>
        <w:tabs>
          <w:tab w:val="num" w:pos="780"/>
        </w:tabs>
        <w:ind w:left="780" w:hanging="720"/>
      </w:pPr>
      <w:rPr>
        <w:rFonts w:hint="default"/>
      </w:rPr>
    </w:lvl>
    <w:lvl w:ilvl="1" w:tplc="04160019" w:tentative="1">
      <w:start w:val="1"/>
      <w:numFmt w:val="lowerLetter"/>
      <w:lvlText w:val="%2."/>
      <w:lvlJc w:val="left"/>
      <w:pPr>
        <w:tabs>
          <w:tab w:val="num" w:pos="1140"/>
        </w:tabs>
        <w:ind w:left="1140" w:hanging="360"/>
      </w:pPr>
    </w:lvl>
    <w:lvl w:ilvl="2" w:tplc="0416001B" w:tentative="1">
      <w:start w:val="1"/>
      <w:numFmt w:val="lowerRoman"/>
      <w:lvlText w:val="%3."/>
      <w:lvlJc w:val="right"/>
      <w:pPr>
        <w:tabs>
          <w:tab w:val="num" w:pos="1860"/>
        </w:tabs>
        <w:ind w:left="1860" w:hanging="180"/>
      </w:pPr>
    </w:lvl>
    <w:lvl w:ilvl="3" w:tplc="0416000F" w:tentative="1">
      <w:start w:val="1"/>
      <w:numFmt w:val="decimal"/>
      <w:lvlText w:val="%4."/>
      <w:lvlJc w:val="left"/>
      <w:pPr>
        <w:tabs>
          <w:tab w:val="num" w:pos="2580"/>
        </w:tabs>
        <w:ind w:left="2580" w:hanging="360"/>
      </w:pPr>
    </w:lvl>
    <w:lvl w:ilvl="4" w:tplc="04160019" w:tentative="1">
      <w:start w:val="1"/>
      <w:numFmt w:val="lowerLetter"/>
      <w:lvlText w:val="%5."/>
      <w:lvlJc w:val="left"/>
      <w:pPr>
        <w:tabs>
          <w:tab w:val="num" w:pos="3300"/>
        </w:tabs>
        <w:ind w:left="3300" w:hanging="360"/>
      </w:pPr>
    </w:lvl>
    <w:lvl w:ilvl="5" w:tplc="0416001B" w:tentative="1">
      <w:start w:val="1"/>
      <w:numFmt w:val="lowerRoman"/>
      <w:lvlText w:val="%6."/>
      <w:lvlJc w:val="right"/>
      <w:pPr>
        <w:tabs>
          <w:tab w:val="num" w:pos="4020"/>
        </w:tabs>
        <w:ind w:left="4020" w:hanging="180"/>
      </w:pPr>
    </w:lvl>
    <w:lvl w:ilvl="6" w:tplc="0416000F" w:tentative="1">
      <w:start w:val="1"/>
      <w:numFmt w:val="decimal"/>
      <w:lvlText w:val="%7."/>
      <w:lvlJc w:val="left"/>
      <w:pPr>
        <w:tabs>
          <w:tab w:val="num" w:pos="4740"/>
        </w:tabs>
        <w:ind w:left="4740" w:hanging="360"/>
      </w:pPr>
    </w:lvl>
    <w:lvl w:ilvl="7" w:tplc="04160019" w:tentative="1">
      <w:start w:val="1"/>
      <w:numFmt w:val="lowerLetter"/>
      <w:lvlText w:val="%8."/>
      <w:lvlJc w:val="left"/>
      <w:pPr>
        <w:tabs>
          <w:tab w:val="num" w:pos="5460"/>
        </w:tabs>
        <w:ind w:left="5460" w:hanging="360"/>
      </w:pPr>
    </w:lvl>
    <w:lvl w:ilvl="8" w:tplc="0416001B" w:tentative="1">
      <w:start w:val="1"/>
      <w:numFmt w:val="lowerRoman"/>
      <w:lvlText w:val="%9."/>
      <w:lvlJc w:val="right"/>
      <w:pPr>
        <w:tabs>
          <w:tab w:val="num" w:pos="6180"/>
        </w:tabs>
        <w:ind w:left="6180" w:hanging="180"/>
      </w:pPr>
    </w:lvl>
  </w:abstractNum>
  <w:abstractNum w:abstractNumId="2" w15:restartNumberingAfterBreak="0">
    <w:nsid w:val="152017EA"/>
    <w:multiLevelType w:val="singleLevel"/>
    <w:tmpl w:val="04160017"/>
    <w:lvl w:ilvl="0">
      <w:start w:val="1"/>
      <w:numFmt w:val="lowerLetter"/>
      <w:lvlText w:val="%1)"/>
      <w:lvlJc w:val="left"/>
      <w:pPr>
        <w:tabs>
          <w:tab w:val="num" w:pos="360"/>
        </w:tabs>
        <w:ind w:left="360" w:hanging="360"/>
      </w:pPr>
      <w:rPr>
        <w:rFonts w:hint="default"/>
      </w:rPr>
    </w:lvl>
  </w:abstractNum>
  <w:abstractNum w:abstractNumId="3" w15:restartNumberingAfterBreak="0">
    <w:nsid w:val="1B151D0D"/>
    <w:multiLevelType w:val="hybridMultilevel"/>
    <w:tmpl w:val="B0D8F800"/>
    <w:lvl w:ilvl="0" w:tplc="83C80B9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BC0448E"/>
    <w:multiLevelType w:val="hybridMultilevel"/>
    <w:tmpl w:val="3532464A"/>
    <w:lvl w:ilvl="0" w:tplc="80D61274">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24A2A5C"/>
    <w:multiLevelType w:val="hybridMultilevel"/>
    <w:tmpl w:val="6A386EBC"/>
    <w:lvl w:ilvl="0" w:tplc="2E96AD3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3A40400"/>
    <w:multiLevelType w:val="hybridMultilevel"/>
    <w:tmpl w:val="C3402606"/>
    <w:lvl w:ilvl="0" w:tplc="1DEE99F2">
      <w:start w:val="1"/>
      <w:numFmt w:val="lowerRoman"/>
      <w:lvlText w:val="%1)"/>
      <w:lvlJc w:val="left"/>
      <w:pPr>
        <w:tabs>
          <w:tab w:val="num" w:pos="1080"/>
        </w:tabs>
        <w:ind w:left="1080" w:hanging="720"/>
      </w:pPr>
      <w:rPr>
        <w:rFonts w:ascii="Times New Roman" w:eastAsia="Times New Roman" w:hAnsi="Times New Roman" w:cs="Times New Roman"/>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15:restartNumberingAfterBreak="0">
    <w:nsid w:val="28A279B5"/>
    <w:multiLevelType w:val="hybridMultilevel"/>
    <w:tmpl w:val="BD3C59EA"/>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E5257E"/>
    <w:multiLevelType w:val="singleLevel"/>
    <w:tmpl w:val="FE524150"/>
    <w:lvl w:ilvl="0">
      <w:start w:val="3"/>
      <w:numFmt w:val="bullet"/>
      <w:lvlText w:val=""/>
      <w:lvlJc w:val="left"/>
      <w:pPr>
        <w:tabs>
          <w:tab w:val="num" w:pos="705"/>
        </w:tabs>
        <w:ind w:left="705" w:hanging="705"/>
      </w:pPr>
      <w:rPr>
        <w:rFonts w:ascii="Symbol" w:hAnsi="Symbol" w:hint="default"/>
      </w:rPr>
    </w:lvl>
  </w:abstractNum>
  <w:abstractNum w:abstractNumId="9" w15:restartNumberingAfterBreak="0">
    <w:nsid w:val="366A3368"/>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F93287"/>
    <w:multiLevelType w:val="hybridMultilevel"/>
    <w:tmpl w:val="0DF861A6"/>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681CB0"/>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CA6653C"/>
    <w:multiLevelType w:val="singleLevel"/>
    <w:tmpl w:val="04160001"/>
    <w:lvl w:ilvl="0">
      <w:start w:val="1"/>
      <w:numFmt w:val="bullet"/>
      <w:lvlText w:val=""/>
      <w:lvlJc w:val="left"/>
      <w:pPr>
        <w:ind w:left="720" w:hanging="360"/>
      </w:pPr>
      <w:rPr>
        <w:rFonts w:ascii="Symbol" w:hAnsi="Symbol" w:hint="default"/>
      </w:rPr>
    </w:lvl>
  </w:abstractNum>
  <w:abstractNum w:abstractNumId="13" w15:restartNumberingAfterBreak="0">
    <w:nsid w:val="40861A6A"/>
    <w:multiLevelType w:val="singleLevel"/>
    <w:tmpl w:val="28D4D01E"/>
    <w:lvl w:ilvl="0">
      <w:start w:val="1"/>
      <w:numFmt w:val="lowerRoman"/>
      <w:lvlText w:val="%1)"/>
      <w:lvlJc w:val="left"/>
      <w:pPr>
        <w:tabs>
          <w:tab w:val="num" w:pos="720"/>
        </w:tabs>
        <w:ind w:left="720" w:hanging="720"/>
      </w:pPr>
      <w:rPr>
        <w:rFonts w:hint="default"/>
      </w:rPr>
    </w:lvl>
  </w:abstractNum>
  <w:abstractNum w:abstractNumId="14" w15:restartNumberingAfterBreak="0">
    <w:nsid w:val="41B44EA0"/>
    <w:multiLevelType w:val="hybridMultilevel"/>
    <w:tmpl w:val="28E8CCC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25D1B28"/>
    <w:multiLevelType w:val="hybridMultilevel"/>
    <w:tmpl w:val="0DA49820"/>
    <w:lvl w:ilvl="0" w:tplc="364C7E7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4439077C"/>
    <w:multiLevelType w:val="hybridMultilevel"/>
    <w:tmpl w:val="BFBC0ED8"/>
    <w:lvl w:ilvl="0" w:tplc="04160001">
      <w:start w:val="1"/>
      <w:numFmt w:val="bullet"/>
      <w:lvlText w:val=""/>
      <w:lvlJc w:val="left"/>
      <w:pPr>
        <w:ind w:left="772" w:hanging="360"/>
      </w:pPr>
      <w:rPr>
        <w:rFonts w:ascii="Symbol" w:hAnsi="Symbol" w:hint="default"/>
      </w:rPr>
    </w:lvl>
    <w:lvl w:ilvl="1" w:tplc="04160003" w:tentative="1">
      <w:start w:val="1"/>
      <w:numFmt w:val="bullet"/>
      <w:lvlText w:val="o"/>
      <w:lvlJc w:val="left"/>
      <w:pPr>
        <w:ind w:left="1492" w:hanging="360"/>
      </w:pPr>
      <w:rPr>
        <w:rFonts w:ascii="Courier New" w:hAnsi="Courier New" w:cs="Courier New" w:hint="default"/>
      </w:rPr>
    </w:lvl>
    <w:lvl w:ilvl="2" w:tplc="04160005" w:tentative="1">
      <w:start w:val="1"/>
      <w:numFmt w:val="bullet"/>
      <w:lvlText w:val=""/>
      <w:lvlJc w:val="left"/>
      <w:pPr>
        <w:ind w:left="2212" w:hanging="360"/>
      </w:pPr>
      <w:rPr>
        <w:rFonts w:ascii="Wingdings" w:hAnsi="Wingdings" w:hint="default"/>
      </w:rPr>
    </w:lvl>
    <w:lvl w:ilvl="3" w:tplc="04160001" w:tentative="1">
      <w:start w:val="1"/>
      <w:numFmt w:val="bullet"/>
      <w:lvlText w:val=""/>
      <w:lvlJc w:val="left"/>
      <w:pPr>
        <w:ind w:left="2932" w:hanging="360"/>
      </w:pPr>
      <w:rPr>
        <w:rFonts w:ascii="Symbol" w:hAnsi="Symbol" w:hint="default"/>
      </w:rPr>
    </w:lvl>
    <w:lvl w:ilvl="4" w:tplc="04160003" w:tentative="1">
      <w:start w:val="1"/>
      <w:numFmt w:val="bullet"/>
      <w:lvlText w:val="o"/>
      <w:lvlJc w:val="left"/>
      <w:pPr>
        <w:ind w:left="3652" w:hanging="360"/>
      </w:pPr>
      <w:rPr>
        <w:rFonts w:ascii="Courier New" w:hAnsi="Courier New" w:cs="Courier New" w:hint="default"/>
      </w:rPr>
    </w:lvl>
    <w:lvl w:ilvl="5" w:tplc="04160005" w:tentative="1">
      <w:start w:val="1"/>
      <w:numFmt w:val="bullet"/>
      <w:lvlText w:val=""/>
      <w:lvlJc w:val="left"/>
      <w:pPr>
        <w:ind w:left="4372" w:hanging="360"/>
      </w:pPr>
      <w:rPr>
        <w:rFonts w:ascii="Wingdings" w:hAnsi="Wingdings" w:hint="default"/>
      </w:rPr>
    </w:lvl>
    <w:lvl w:ilvl="6" w:tplc="04160001" w:tentative="1">
      <w:start w:val="1"/>
      <w:numFmt w:val="bullet"/>
      <w:lvlText w:val=""/>
      <w:lvlJc w:val="left"/>
      <w:pPr>
        <w:ind w:left="5092" w:hanging="360"/>
      </w:pPr>
      <w:rPr>
        <w:rFonts w:ascii="Symbol" w:hAnsi="Symbol" w:hint="default"/>
      </w:rPr>
    </w:lvl>
    <w:lvl w:ilvl="7" w:tplc="04160003" w:tentative="1">
      <w:start w:val="1"/>
      <w:numFmt w:val="bullet"/>
      <w:lvlText w:val="o"/>
      <w:lvlJc w:val="left"/>
      <w:pPr>
        <w:ind w:left="5812" w:hanging="360"/>
      </w:pPr>
      <w:rPr>
        <w:rFonts w:ascii="Courier New" w:hAnsi="Courier New" w:cs="Courier New" w:hint="default"/>
      </w:rPr>
    </w:lvl>
    <w:lvl w:ilvl="8" w:tplc="04160005" w:tentative="1">
      <w:start w:val="1"/>
      <w:numFmt w:val="bullet"/>
      <w:lvlText w:val=""/>
      <w:lvlJc w:val="left"/>
      <w:pPr>
        <w:ind w:left="6532" w:hanging="360"/>
      </w:pPr>
      <w:rPr>
        <w:rFonts w:ascii="Wingdings" w:hAnsi="Wingdings" w:hint="default"/>
      </w:rPr>
    </w:lvl>
  </w:abstractNum>
  <w:abstractNum w:abstractNumId="17" w15:restartNumberingAfterBreak="0">
    <w:nsid w:val="48466862"/>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FE55746"/>
    <w:multiLevelType w:val="singleLevel"/>
    <w:tmpl w:val="04160011"/>
    <w:lvl w:ilvl="0">
      <w:start w:val="1"/>
      <w:numFmt w:val="decimal"/>
      <w:lvlText w:val="%1)"/>
      <w:lvlJc w:val="left"/>
      <w:pPr>
        <w:tabs>
          <w:tab w:val="num" w:pos="360"/>
        </w:tabs>
        <w:ind w:left="360" w:hanging="360"/>
      </w:pPr>
      <w:rPr>
        <w:rFonts w:hint="default"/>
      </w:rPr>
    </w:lvl>
  </w:abstractNum>
  <w:abstractNum w:abstractNumId="19" w15:restartNumberingAfterBreak="0">
    <w:nsid w:val="507F6A45"/>
    <w:multiLevelType w:val="hybridMultilevel"/>
    <w:tmpl w:val="9AAEACB2"/>
    <w:lvl w:ilvl="0" w:tplc="0382067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1AE5230"/>
    <w:multiLevelType w:val="hybridMultilevel"/>
    <w:tmpl w:val="2A2E8F7E"/>
    <w:lvl w:ilvl="0" w:tplc="A54E4F50">
      <w:start w:val="1"/>
      <w:numFmt w:val="lowerRoman"/>
      <w:lvlText w:val="%1)"/>
      <w:lvlJc w:val="left"/>
      <w:pPr>
        <w:tabs>
          <w:tab w:val="num" w:pos="1080"/>
        </w:tabs>
        <w:ind w:left="1080" w:hanging="72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15:restartNumberingAfterBreak="0">
    <w:nsid w:val="61176F1E"/>
    <w:multiLevelType w:val="hybridMultilevel"/>
    <w:tmpl w:val="AFFE53F2"/>
    <w:lvl w:ilvl="0" w:tplc="7DBE48D0">
      <w:start w:val="1"/>
      <w:numFmt w:val="lowerRoman"/>
      <w:lvlText w:val="%1)"/>
      <w:lvlJc w:val="left"/>
      <w:pPr>
        <w:tabs>
          <w:tab w:val="num" w:pos="780"/>
        </w:tabs>
        <w:ind w:left="780" w:hanging="720"/>
      </w:pPr>
      <w:rPr>
        <w:rFonts w:hint="default"/>
      </w:rPr>
    </w:lvl>
    <w:lvl w:ilvl="1" w:tplc="04160019" w:tentative="1">
      <w:start w:val="1"/>
      <w:numFmt w:val="lowerLetter"/>
      <w:lvlText w:val="%2."/>
      <w:lvlJc w:val="left"/>
      <w:pPr>
        <w:tabs>
          <w:tab w:val="num" w:pos="1140"/>
        </w:tabs>
        <w:ind w:left="1140" w:hanging="360"/>
      </w:pPr>
    </w:lvl>
    <w:lvl w:ilvl="2" w:tplc="0416001B" w:tentative="1">
      <w:start w:val="1"/>
      <w:numFmt w:val="lowerRoman"/>
      <w:lvlText w:val="%3."/>
      <w:lvlJc w:val="right"/>
      <w:pPr>
        <w:tabs>
          <w:tab w:val="num" w:pos="1860"/>
        </w:tabs>
        <w:ind w:left="1860" w:hanging="180"/>
      </w:pPr>
    </w:lvl>
    <w:lvl w:ilvl="3" w:tplc="0416000F" w:tentative="1">
      <w:start w:val="1"/>
      <w:numFmt w:val="decimal"/>
      <w:lvlText w:val="%4."/>
      <w:lvlJc w:val="left"/>
      <w:pPr>
        <w:tabs>
          <w:tab w:val="num" w:pos="2580"/>
        </w:tabs>
        <w:ind w:left="2580" w:hanging="360"/>
      </w:pPr>
    </w:lvl>
    <w:lvl w:ilvl="4" w:tplc="04160019" w:tentative="1">
      <w:start w:val="1"/>
      <w:numFmt w:val="lowerLetter"/>
      <w:lvlText w:val="%5."/>
      <w:lvlJc w:val="left"/>
      <w:pPr>
        <w:tabs>
          <w:tab w:val="num" w:pos="3300"/>
        </w:tabs>
        <w:ind w:left="3300" w:hanging="360"/>
      </w:pPr>
    </w:lvl>
    <w:lvl w:ilvl="5" w:tplc="0416001B" w:tentative="1">
      <w:start w:val="1"/>
      <w:numFmt w:val="lowerRoman"/>
      <w:lvlText w:val="%6."/>
      <w:lvlJc w:val="right"/>
      <w:pPr>
        <w:tabs>
          <w:tab w:val="num" w:pos="4020"/>
        </w:tabs>
        <w:ind w:left="4020" w:hanging="180"/>
      </w:pPr>
    </w:lvl>
    <w:lvl w:ilvl="6" w:tplc="0416000F" w:tentative="1">
      <w:start w:val="1"/>
      <w:numFmt w:val="decimal"/>
      <w:lvlText w:val="%7."/>
      <w:lvlJc w:val="left"/>
      <w:pPr>
        <w:tabs>
          <w:tab w:val="num" w:pos="4740"/>
        </w:tabs>
        <w:ind w:left="4740" w:hanging="360"/>
      </w:pPr>
    </w:lvl>
    <w:lvl w:ilvl="7" w:tplc="04160019" w:tentative="1">
      <w:start w:val="1"/>
      <w:numFmt w:val="lowerLetter"/>
      <w:lvlText w:val="%8."/>
      <w:lvlJc w:val="left"/>
      <w:pPr>
        <w:tabs>
          <w:tab w:val="num" w:pos="5460"/>
        </w:tabs>
        <w:ind w:left="5460" w:hanging="360"/>
      </w:pPr>
    </w:lvl>
    <w:lvl w:ilvl="8" w:tplc="0416001B" w:tentative="1">
      <w:start w:val="1"/>
      <w:numFmt w:val="lowerRoman"/>
      <w:lvlText w:val="%9."/>
      <w:lvlJc w:val="right"/>
      <w:pPr>
        <w:tabs>
          <w:tab w:val="num" w:pos="6180"/>
        </w:tabs>
        <w:ind w:left="6180" w:hanging="180"/>
      </w:pPr>
    </w:lvl>
  </w:abstractNum>
  <w:abstractNum w:abstractNumId="22" w15:restartNumberingAfterBreak="0">
    <w:nsid w:val="616C336A"/>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2145950"/>
    <w:multiLevelType w:val="singleLevel"/>
    <w:tmpl w:val="179E4E3E"/>
    <w:lvl w:ilvl="0">
      <w:start w:val="1"/>
      <w:numFmt w:val="lowerRoman"/>
      <w:lvlText w:val="%1)"/>
      <w:lvlJc w:val="left"/>
      <w:pPr>
        <w:tabs>
          <w:tab w:val="num" w:pos="720"/>
        </w:tabs>
        <w:ind w:left="720" w:hanging="720"/>
      </w:pPr>
      <w:rPr>
        <w:rFonts w:hint="default"/>
      </w:rPr>
    </w:lvl>
  </w:abstractNum>
  <w:abstractNum w:abstractNumId="24" w15:restartNumberingAfterBreak="0">
    <w:nsid w:val="62A81D9D"/>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2CF69A4"/>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5007A35"/>
    <w:multiLevelType w:val="hybridMultilevel"/>
    <w:tmpl w:val="355EAEE4"/>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3C6E4E"/>
    <w:multiLevelType w:val="singleLevel"/>
    <w:tmpl w:val="F182D0A8"/>
    <w:lvl w:ilvl="0">
      <w:start w:val="1"/>
      <w:numFmt w:val="lowerRoman"/>
      <w:lvlText w:val="%1)"/>
      <w:lvlJc w:val="left"/>
      <w:pPr>
        <w:tabs>
          <w:tab w:val="num" w:pos="720"/>
        </w:tabs>
        <w:ind w:left="720" w:hanging="720"/>
      </w:pPr>
      <w:rPr>
        <w:rFonts w:hint="default"/>
      </w:rPr>
    </w:lvl>
  </w:abstractNum>
  <w:abstractNum w:abstractNumId="28" w15:restartNumberingAfterBreak="0">
    <w:nsid w:val="68566873"/>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D923DC0"/>
    <w:multiLevelType w:val="singleLevel"/>
    <w:tmpl w:val="04160011"/>
    <w:lvl w:ilvl="0">
      <w:start w:val="3"/>
      <w:numFmt w:val="decimal"/>
      <w:lvlText w:val="%1)"/>
      <w:lvlJc w:val="left"/>
      <w:pPr>
        <w:tabs>
          <w:tab w:val="num" w:pos="360"/>
        </w:tabs>
        <w:ind w:left="360" w:hanging="360"/>
      </w:pPr>
      <w:rPr>
        <w:rFonts w:hint="default"/>
      </w:rPr>
    </w:lvl>
  </w:abstractNum>
  <w:abstractNum w:abstractNumId="30" w15:restartNumberingAfterBreak="0">
    <w:nsid w:val="711579BC"/>
    <w:multiLevelType w:val="hybridMultilevel"/>
    <w:tmpl w:val="A2588854"/>
    <w:lvl w:ilvl="0" w:tplc="17E035B4">
      <w:start w:val="2"/>
      <w:numFmt w:val="lowerRoman"/>
      <w:lvlText w:val="%1)"/>
      <w:lvlJc w:val="left"/>
      <w:pPr>
        <w:tabs>
          <w:tab w:val="num" w:pos="1080"/>
        </w:tabs>
        <w:ind w:left="1080" w:hanging="72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713971B5"/>
    <w:multiLevelType w:val="hybridMultilevel"/>
    <w:tmpl w:val="2A0C6AF8"/>
    <w:lvl w:ilvl="0" w:tplc="D74E495E">
      <w:start w:val="1"/>
      <w:numFmt w:val="lowerRoman"/>
      <w:lvlText w:val="%1)"/>
      <w:lvlJc w:val="left"/>
      <w:pPr>
        <w:tabs>
          <w:tab w:val="num" w:pos="1080"/>
        </w:tabs>
        <w:ind w:left="1080" w:hanging="72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76B96A30"/>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6C41B6B"/>
    <w:multiLevelType w:val="hybridMultilevel"/>
    <w:tmpl w:val="5366C078"/>
    <w:lvl w:ilvl="0" w:tplc="593A8770">
      <w:start w:val="2"/>
      <w:numFmt w:val="lowerRoman"/>
      <w:lvlText w:val="%1)"/>
      <w:lvlJc w:val="left"/>
      <w:pPr>
        <w:tabs>
          <w:tab w:val="num" w:pos="1080"/>
        </w:tabs>
        <w:ind w:left="1080" w:hanging="72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4" w15:restartNumberingAfterBreak="0">
    <w:nsid w:val="77455DC4"/>
    <w:multiLevelType w:val="hybridMultilevel"/>
    <w:tmpl w:val="80549EEA"/>
    <w:lvl w:ilvl="0" w:tplc="2E96AD3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A2C45CF"/>
    <w:multiLevelType w:val="singleLevel"/>
    <w:tmpl w:val="9CFC0314"/>
    <w:lvl w:ilvl="0">
      <w:start w:val="1"/>
      <w:numFmt w:val="lowerRoman"/>
      <w:lvlText w:val="%1)"/>
      <w:lvlJc w:val="left"/>
      <w:pPr>
        <w:tabs>
          <w:tab w:val="num" w:pos="720"/>
        </w:tabs>
        <w:ind w:left="720" w:hanging="720"/>
      </w:pPr>
      <w:rPr>
        <w:rFonts w:hint="default"/>
      </w:rPr>
    </w:lvl>
  </w:abstractNum>
  <w:abstractNum w:abstractNumId="36" w15:restartNumberingAfterBreak="0">
    <w:nsid w:val="7D9D398B"/>
    <w:multiLevelType w:val="singleLevel"/>
    <w:tmpl w:val="ADC04E8E"/>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E0A23B3"/>
    <w:multiLevelType w:val="hybridMultilevel"/>
    <w:tmpl w:val="B69639E8"/>
    <w:lvl w:ilvl="0" w:tplc="04160001">
      <w:start w:val="47"/>
      <w:numFmt w:val="bullet"/>
      <w:lvlText w:val=""/>
      <w:lvlJc w:val="left"/>
      <w:pPr>
        <w:tabs>
          <w:tab w:val="num" w:pos="720"/>
        </w:tabs>
        <w:ind w:left="720" w:hanging="360"/>
      </w:pPr>
      <w:rPr>
        <w:rFonts w:ascii="Symbol" w:eastAsia="Times New Roman" w:hAnsi="Symbol" w:cs="Times New Roman"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F3615D0"/>
    <w:multiLevelType w:val="hybridMultilevel"/>
    <w:tmpl w:val="BDDE8D52"/>
    <w:lvl w:ilvl="0" w:tplc="B652F084">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8"/>
  </w:num>
  <w:num w:numId="2">
    <w:abstractNumId w:val="23"/>
  </w:num>
  <w:num w:numId="3">
    <w:abstractNumId w:val="35"/>
  </w:num>
  <w:num w:numId="4">
    <w:abstractNumId w:val="13"/>
  </w:num>
  <w:num w:numId="5">
    <w:abstractNumId w:val="27"/>
  </w:num>
  <w:num w:numId="6">
    <w:abstractNumId w:val="8"/>
  </w:num>
  <w:num w:numId="7">
    <w:abstractNumId w:val="29"/>
  </w:num>
  <w:num w:numId="8">
    <w:abstractNumId w:val="22"/>
  </w:num>
  <w:num w:numId="9">
    <w:abstractNumId w:val="2"/>
  </w:num>
  <w:num w:numId="10">
    <w:abstractNumId w:val="7"/>
  </w:num>
  <w:num w:numId="11">
    <w:abstractNumId w:val="26"/>
  </w:num>
  <w:num w:numId="12">
    <w:abstractNumId w:val="31"/>
  </w:num>
  <w:num w:numId="13">
    <w:abstractNumId w:val="20"/>
  </w:num>
  <w:num w:numId="14">
    <w:abstractNumId w:val="30"/>
  </w:num>
  <w:num w:numId="15">
    <w:abstractNumId w:val="37"/>
  </w:num>
  <w:num w:numId="16">
    <w:abstractNumId w:val="0"/>
  </w:num>
  <w:num w:numId="17">
    <w:abstractNumId w:val="10"/>
  </w:num>
  <w:num w:numId="18">
    <w:abstractNumId w:val="1"/>
  </w:num>
  <w:num w:numId="19">
    <w:abstractNumId w:val="6"/>
  </w:num>
  <w:num w:numId="20">
    <w:abstractNumId w:val="21"/>
  </w:num>
  <w:num w:numId="21">
    <w:abstractNumId w:val="33"/>
  </w:num>
  <w:num w:numId="22">
    <w:abstractNumId w:val="3"/>
  </w:num>
  <w:num w:numId="23">
    <w:abstractNumId w:val="38"/>
  </w:num>
  <w:num w:numId="24">
    <w:abstractNumId w:val="19"/>
  </w:num>
  <w:num w:numId="25">
    <w:abstractNumId w:val="5"/>
  </w:num>
  <w:num w:numId="26">
    <w:abstractNumId w:val="36"/>
  </w:num>
  <w:num w:numId="27">
    <w:abstractNumId w:val="32"/>
  </w:num>
  <w:num w:numId="28">
    <w:abstractNumId w:val="9"/>
  </w:num>
  <w:num w:numId="29">
    <w:abstractNumId w:val="24"/>
  </w:num>
  <w:num w:numId="30">
    <w:abstractNumId w:val="12"/>
  </w:num>
  <w:num w:numId="31">
    <w:abstractNumId w:val="28"/>
  </w:num>
  <w:num w:numId="32">
    <w:abstractNumId w:val="17"/>
  </w:num>
  <w:num w:numId="33">
    <w:abstractNumId w:val="16"/>
  </w:num>
  <w:num w:numId="34">
    <w:abstractNumId w:val="14"/>
  </w:num>
  <w:num w:numId="35">
    <w:abstractNumId w:val="34"/>
  </w:num>
  <w:num w:numId="36">
    <w:abstractNumId w:val="15"/>
  </w:num>
  <w:num w:numId="37">
    <w:abstractNumId w:val="4"/>
  </w:num>
  <w:num w:numId="38">
    <w:abstractNumId w:val="25"/>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995"/>
    <w:rsid w:val="00000050"/>
    <w:rsid w:val="00001A24"/>
    <w:rsid w:val="000119D8"/>
    <w:rsid w:val="00014219"/>
    <w:rsid w:val="000156B0"/>
    <w:rsid w:val="00023811"/>
    <w:rsid w:val="0002466E"/>
    <w:rsid w:val="00042176"/>
    <w:rsid w:val="00051AE7"/>
    <w:rsid w:val="00053D01"/>
    <w:rsid w:val="00054145"/>
    <w:rsid w:val="0006010F"/>
    <w:rsid w:val="0008248D"/>
    <w:rsid w:val="00086D11"/>
    <w:rsid w:val="000932D6"/>
    <w:rsid w:val="000954F5"/>
    <w:rsid w:val="00096750"/>
    <w:rsid w:val="000A430C"/>
    <w:rsid w:val="000A4C2E"/>
    <w:rsid w:val="000A4EEF"/>
    <w:rsid w:val="000A600C"/>
    <w:rsid w:val="000B0C5A"/>
    <w:rsid w:val="000B202E"/>
    <w:rsid w:val="000B414E"/>
    <w:rsid w:val="000B682F"/>
    <w:rsid w:val="000D1BE8"/>
    <w:rsid w:val="000D4AB7"/>
    <w:rsid w:val="000E7CD2"/>
    <w:rsid w:val="00104B6B"/>
    <w:rsid w:val="00111C55"/>
    <w:rsid w:val="00113911"/>
    <w:rsid w:val="001255F4"/>
    <w:rsid w:val="00125781"/>
    <w:rsid w:val="001272C2"/>
    <w:rsid w:val="001318DB"/>
    <w:rsid w:val="00132E6E"/>
    <w:rsid w:val="0013594F"/>
    <w:rsid w:val="001408EE"/>
    <w:rsid w:val="00150E97"/>
    <w:rsid w:val="001614AB"/>
    <w:rsid w:val="00185546"/>
    <w:rsid w:val="00197001"/>
    <w:rsid w:val="00197F5C"/>
    <w:rsid w:val="001A4DF0"/>
    <w:rsid w:val="001A5E4D"/>
    <w:rsid w:val="001A5FFB"/>
    <w:rsid w:val="001B3627"/>
    <w:rsid w:val="001B6B6E"/>
    <w:rsid w:val="001D4503"/>
    <w:rsid w:val="001D57E7"/>
    <w:rsid w:val="001E3574"/>
    <w:rsid w:val="001F63C4"/>
    <w:rsid w:val="0020024B"/>
    <w:rsid w:val="002109A2"/>
    <w:rsid w:val="00215505"/>
    <w:rsid w:val="002226F9"/>
    <w:rsid w:val="002355D6"/>
    <w:rsid w:val="00240A1F"/>
    <w:rsid w:val="00244EF4"/>
    <w:rsid w:val="00245133"/>
    <w:rsid w:val="00246DB1"/>
    <w:rsid w:val="002717B2"/>
    <w:rsid w:val="00291935"/>
    <w:rsid w:val="00297BBA"/>
    <w:rsid w:val="002A5242"/>
    <w:rsid w:val="002B0DD8"/>
    <w:rsid w:val="002E03DE"/>
    <w:rsid w:val="00303B23"/>
    <w:rsid w:val="00305EE7"/>
    <w:rsid w:val="00314F31"/>
    <w:rsid w:val="00315909"/>
    <w:rsid w:val="003206C8"/>
    <w:rsid w:val="003209D6"/>
    <w:rsid w:val="003239B5"/>
    <w:rsid w:val="00323A7F"/>
    <w:rsid w:val="003309AE"/>
    <w:rsid w:val="00336BFC"/>
    <w:rsid w:val="003377EB"/>
    <w:rsid w:val="00340F26"/>
    <w:rsid w:val="00345C9E"/>
    <w:rsid w:val="003470CC"/>
    <w:rsid w:val="003535ED"/>
    <w:rsid w:val="0035740B"/>
    <w:rsid w:val="00363206"/>
    <w:rsid w:val="00364530"/>
    <w:rsid w:val="00387989"/>
    <w:rsid w:val="0039314A"/>
    <w:rsid w:val="00394A1B"/>
    <w:rsid w:val="00396E14"/>
    <w:rsid w:val="003A2E10"/>
    <w:rsid w:val="003A5F32"/>
    <w:rsid w:val="003B1C50"/>
    <w:rsid w:val="003B3388"/>
    <w:rsid w:val="003C519C"/>
    <w:rsid w:val="003E1B02"/>
    <w:rsid w:val="003E1C64"/>
    <w:rsid w:val="003F1E7E"/>
    <w:rsid w:val="003F5CDC"/>
    <w:rsid w:val="003F7D24"/>
    <w:rsid w:val="00401892"/>
    <w:rsid w:val="0040435F"/>
    <w:rsid w:val="0040742B"/>
    <w:rsid w:val="0041501F"/>
    <w:rsid w:val="004303CE"/>
    <w:rsid w:val="00430C81"/>
    <w:rsid w:val="0043634B"/>
    <w:rsid w:val="00437B31"/>
    <w:rsid w:val="0044459D"/>
    <w:rsid w:val="00452728"/>
    <w:rsid w:val="004545DA"/>
    <w:rsid w:val="00464294"/>
    <w:rsid w:val="00467C2E"/>
    <w:rsid w:val="00471AE6"/>
    <w:rsid w:val="00473A26"/>
    <w:rsid w:val="00473D4A"/>
    <w:rsid w:val="00480096"/>
    <w:rsid w:val="004843A0"/>
    <w:rsid w:val="00484B43"/>
    <w:rsid w:val="00496EF0"/>
    <w:rsid w:val="004A2957"/>
    <w:rsid w:val="004C2B14"/>
    <w:rsid w:val="004C471E"/>
    <w:rsid w:val="004D0F1F"/>
    <w:rsid w:val="004D4F14"/>
    <w:rsid w:val="004E0855"/>
    <w:rsid w:val="004E132A"/>
    <w:rsid w:val="004E3E12"/>
    <w:rsid w:val="004E5A99"/>
    <w:rsid w:val="004F29B7"/>
    <w:rsid w:val="004F463B"/>
    <w:rsid w:val="005175FC"/>
    <w:rsid w:val="005202BE"/>
    <w:rsid w:val="00527B32"/>
    <w:rsid w:val="00544AE0"/>
    <w:rsid w:val="00545A65"/>
    <w:rsid w:val="00557299"/>
    <w:rsid w:val="00574546"/>
    <w:rsid w:val="0057791C"/>
    <w:rsid w:val="00586F58"/>
    <w:rsid w:val="005934AE"/>
    <w:rsid w:val="00594DCA"/>
    <w:rsid w:val="00597F41"/>
    <w:rsid w:val="005A6391"/>
    <w:rsid w:val="005A65A0"/>
    <w:rsid w:val="005B4399"/>
    <w:rsid w:val="005B46CE"/>
    <w:rsid w:val="005C3656"/>
    <w:rsid w:val="005D1229"/>
    <w:rsid w:val="005D2882"/>
    <w:rsid w:val="005E23D0"/>
    <w:rsid w:val="005F6148"/>
    <w:rsid w:val="005F6BD3"/>
    <w:rsid w:val="005F7642"/>
    <w:rsid w:val="006026A6"/>
    <w:rsid w:val="006027B1"/>
    <w:rsid w:val="0060726E"/>
    <w:rsid w:val="006101D2"/>
    <w:rsid w:val="006211F9"/>
    <w:rsid w:val="00634648"/>
    <w:rsid w:val="00641362"/>
    <w:rsid w:val="006442B9"/>
    <w:rsid w:val="006476A9"/>
    <w:rsid w:val="006513CC"/>
    <w:rsid w:val="00655D7F"/>
    <w:rsid w:val="00656947"/>
    <w:rsid w:val="006617D1"/>
    <w:rsid w:val="00667572"/>
    <w:rsid w:val="006940A7"/>
    <w:rsid w:val="006A0DDA"/>
    <w:rsid w:val="006A242D"/>
    <w:rsid w:val="006A42BA"/>
    <w:rsid w:val="006C5933"/>
    <w:rsid w:val="006D5800"/>
    <w:rsid w:val="006E2F60"/>
    <w:rsid w:val="006E4A60"/>
    <w:rsid w:val="006E53D4"/>
    <w:rsid w:val="006F6A27"/>
    <w:rsid w:val="00701DA7"/>
    <w:rsid w:val="00701F66"/>
    <w:rsid w:val="007067DA"/>
    <w:rsid w:val="007110EE"/>
    <w:rsid w:val="0071113C"/>
    <w:rsid w:val="00720523"/>
    <w:rsid w:val="00724222"/>
    <w:rsid w:val="0072774D"/>
    <w:rsid w:val="00736349"/>
    <w:rsid w:val="00755BDE"/>
    <w:rsid w:val="007573CA"/>
    <w:rsid w:val="0076336D"/>
    <w:rsid w:val="00763F27"/>
    <w:rsid w:val="007905B2"/>
    <w:rsid w:val="00791DD0"/>
    <w:rsid w:val="0079487D"/>
    <w:rsid w:val="00794CB4"/>
    <w:rsid w:val="007A5663"/>
    <w:rsid w:val="007A5DD8"/>
    <w:rsid w:val="007B23F9"/>
    <w:rsid w:val="007C28A0"/>
    <w:rsid w:val="007C6D89"/>
    <w:rsid w:val="007C6D8A"/>
    <w:rsid w:val="007D00E0"/>
    <w:rsid w:val="007D6FBC"/>
    <w:rsid w:val="007E2819"/>
    <w:rsid w:val="00800C1E"/>
    <w:rsid w:val="00803F6D"/>
    <w:rsid w:val="0081220F"/>
    <w:rsid w:val="008203A9"/>
    <w:rsid w:val="00825F7D"/>
    <w:rsid w:val="00827B57"/>
    <w:rsid w:val="00831930"/>
    <w:rsid w:val="008360D5"/>
    <w:rsid w:val="00836367"/>
    <w:rsid w:val="00841824"/>
    <w:rsid w:val="00845D4C"/>
    <w:rsid w:val="00845FC4"/>
    <w:rsid w:val="00851816"/>
    <w:rsid w:val="00853A20"/>
    <w:rsid w:val="00863193"/>
    <w:rsid w:val="00873309"/>
    <w:rsid w:val="00873B9B"/>
    <w:rsid w:val="0087556F"/>
    <w:rsid w:val="008857E5"/>
    <w:rsid w:val="008A5667"/>
    <w:rsid w:val="008B6A66"/>
    <w:rsid w:val="008C4D0A"/>
    <w:rsid w:val="008C682A"/>
    <w:rsid w:val="008D169D"/>
    <w:rsid w:val="008D6F47"/>
    <w:rsid w:val="008E19D5"/>
    <w:rsid w:val="008E1C89"/>
    <w:rsid w:val="008E2C2A"/>
    <w:rsid w:val="009076AA"/>
    <w:rsid w:val="009147ED"/>
    <w:rsid w:val="009210B7"/>
    <w:rsid w:val="00927291"/>
    <w:rsid w:val="00936F91"/>
    <w:rsid w:val="00941BCF"/>
    <w:rsid w:val="00942F61"/>
    <w:rsid w:val="0094751A"/>
    <w:rsid w:val="00957134"/>
    <w:rsid w:val="0095783B"/>
    <w:rsid w:val="009624AF"/>
    <w:rsid w:val="0097094E"/>
    <w:rsid w:val="009751C3"/>
    <w:rsid w:val="00983AB2"/>
    <w:rsid w:val="009912EB"/>
    <w:rsid w:val="009971A3"/>
    <w:rsid w:val="0099725C"/>
    <w:rsid w:val="009A14DA"/>
    <w:rsid w:val="009A170B"/>
    <w:rsid w:val="009B173C"/>
    <w:rsid w:val="009B46B2"/>
    <w:rsid w:val="009C25D5"/>
    <w:rsid w:val="009D2564"/>
    <w:rsid w:val="009D2A12"/>
    <w:rsid w:val="009D4995"/>
    <w:rsid w:val="009D6855"/>
    <w:rsid w:val="009E13A2"/>
    <w:rsid w:val="009E4091"/>
    <w:rsid w:val="009F28E9"/>
    <w:rsid w:val="009F3FF4"/>
    <w:rsid w:val="00A05372"/>
    <w:rsid w:val="00A07D75"/>
    <w:rsid w:val="00A16193"/>
    <w:rsid w:val="00A23C25"/>
    <w:rsid w:val="00A4029F"/>
    <w:rsid w:val="00A5507C"/>
    <w:rsid w:val="00A56858"/>
    <w:rsid w:val="00A618E0"/>
    <w:rsid w:val="00A644E3"/>
    <w:rsid w:val="00A72759"/>
    <w:rsid w:val="00A7496B"/>
    <w:rsid w:val="00A806F9"/>
    <w:rsid w:val="00A82D89"/>
    <w:rsid w:val="00A91983"/>
    <w:rsid w:val="00A9687D"/>
    <w:rsid w:val="00AA36FF"/>
    <w:rsid w:val="00AD3FDD"/>
    <w:rsid w:val="00AE04F1"/>
    <w:rsid w:val="00AE0DE8"/>
    <w:rsid w:val="00AE685C"/>
    <w:rsid w:val="00AF4390"/>
    <w:rsid w:val="00AF4464"/>
    <w:rsid w:val="00B02138"/>
    <w:rsid w:val="00B05A3D"/>
    <w:rsid w:val="00B07199"/>
    <w:rsid w:val="00B14162"/>
    <w:rsid w:val="00B16BA3"/>
    <w:rsid w:val="00B2017D"/>
    <w:rsid w:val="00B22608"/>
    <w:rsid w:val="00B27493"/>
    <w:rsid w:val="00B27FAA"/>
    <w:rsid w:val="00B36CD6"/>
    <w:rsid w:val="00B37A62"/>
    <w:rsid w:val="00B428D0"/>
    <w:rsid w:val="00B51684"/>
    <w:rsid w:val="00B5296E"/>
    <w:rsid w:val="00B66718"/>
    <w:rsid w:val="00B767EE"/>
    <w:rsid w:val="00B8412B"/>
    <w:rsid w:val="00B85573"/>
    <w:rsid w:val="00B86FD0"/>
    <w:rsid w:val="00BA2FA6"/>
    <w:rsid w:val="00BA3D78"/>
    <w:rsid w:val="00BB22AC"/>
    <w:rsid w:val="00BB5A4C"/>
    <w:rsid w:val="00BB7267"/>
    <w:rsid w:val="00BD564C"/>
    <w:rsid w:val="00BD7160"/>
    <w:rsid w:val="00BE1268"/>
    <w:rsid w:val="00BF4884"/>
    <w:rsid w:val="00BF4E2A"/>
    <w:rsid w:val="00C04B73"/>
    <w:rsid w:val="00C10DC8"/>
    <w:rsid w:val="00C16C35"/>
    <w:rsid w:val="00C17E2D"/>
    <w:rsid w:val="00C30328"/>
    <w:rsid w:val="00C41639"/>
    <w:rsid w:val="00C419A8"/>
    <w:rsid w:val="00C57058"/>
    <w:rsid w:val="00C578CA"/>
    <w:rsid w:val="00C66509"/>
    <w:rsid w:val="00C75E85"/>
    <w:rsid w:val="00C8240C"/>
    <w:rsid w:val="00C91D3A"/>
    <w:rsid w:val="00C935E4"/>
    <w:rsid w:val="00C96CDD"/>
    <w:rsid w:val="00C979B3"/>
    <w:rsid w:val="00CA222B"/>
    <w:rsid w:val="00CA27A4"/>
    <w:rsid w:val="00CA5B99"/>
    <w:rsid w:val="00CB466F"/>
    <w:rsid w:val="00CB5487"/>
    <w:rsid w:val="00CD6FC8"/>
    <w:rsid w:val="00CE42F6"/>
    <w:rsid w:val="00CF3624"/>
    <w:rsid w:val="00CF440C"/>
    <w:rsid w:val="00CF5441"/>
    <w:rsid w:val="00CF5E86"/>
    <w:rsid w:val="00D05F0A"/>
    <w:rsid w:val="00D10571"/>
    <w:rsid w:val="00D10E4B"/>
    <w:rsid w:val="00D1324D"/>
    <w:rsid w:val="00D172EE"/>
    <w:rsid w:val="00D17BED"/>
    <w:rsid w:val="00D20373"/>
    <w:rsid w:val="00D26AA4"/>
    <w:rsid w:val="00D373E5"/>
    <w:rsid w:val="00D440D5"/>
    <w:rsid w:val="00D535CE"/>
    <w:rsid w:val="00D57B5A"/>
    <w:rsid w:val="00D611A8"/>
    <w:rsid w:val="00D81F0C"/>
    <w:rsid w:val="00D8788B"/>
    <w:rsid w:val="00D90FFC"/>
    <w:rsid w:val="00D96932"/>
    <w:rsid w:val="00DA698F"/>
    <w:rsid w:val="00DB3D7E"/>
    <w:rsid w:val="00DC0CE1"/>
    <w:rsid w:val="00DC1363"/>
    <w:rsid w:val="00DC4053"/>
    <w:rsid w:val="00DD6CAC"/>
    <w:rsid w:val="00DE0A8C"/>
    <w:rsid w:val="00DE46D1"/>
    <w:rsid w:val="00DF1552"/>
    <w:rsid w:val="00DF3A3A"/>
    <w:rsid w:val="00DF5819"/>
    <w:rsid w:val="00E03442"/>
    <w:rsid w:val="00E1050A"/>
    <w:rsid w:val="00E11357"/>
    <w:rsid w:val="00E128F0"/>
    <w:rsid w:val="00E1299B"/>
    <w:rsid w:val="00E31E06"/>
    <w:rsid w:val="00E34257"/>
    <w:rsid w:val="00E37FA7"/>
    <w:rsid w:val="00E6139F"/>
    <w:rsid w:val="00E62FBC"/>
    <w:rsid w:val="00E65268"/>
    <w:rsid w:val="00E653BF"/>
    <w:rsid w:val="00E72B17"/>
    <w:rsid w:val="00E81CE9"/>
    <w:rsid w:val="00E9640F"/>
    <w:rsid w:val="00EB1660"/>
    <w:rsid w:val="00EE5137"/>
    <w:rsid w:val="00EF3085"/>
    <w:rsid w:val="00F037CA"/>
    <w:rsid w:val="00F066AD"/>
    <w:rsid w:val="00F06791"/>
    <w:rsid w:val="00F16A09"/>
    <w:rsid w:val="00F174B5"/>
    <w:rsid w:val="00F330BF"/>
    <w:rsid w:val="00F42E56"/>
    <w:rsid w:val="00F44EF5"/>
    <w:rsid w:val="00F50E08"/>
    <w:rsid w:val="00F532D8"/>
    <w:rsid w:val="00F579E8"/>
    <w:rsid w:val="00F63334"/>
    <w:rsid w:val="00F64F3A"/>
    <w:rsid w:val="00F66394"/>
    <w:rsid w:val="00F8651A"/>
    <w:rsid w:val="00F87042"/>
    <w:rsid w:val="00F91EA4"/>
    <w:rsid w:val="00F95F4B"/>
    <w:rsid w:val="00F971C9"/>
    <w:rsid w:val="00FA2FE7"/>
    <w:rsid w:val="00FA4441"/>
    <w:rsid w:val="00FC3D66"/>
    <w:rsid w:val="00FC57D3"/>
    <w:rsid w:val="00FC6C40"/>
    <w:rsid w:val="00FD3F28"/>
    <w:rsid w:val="00FD4474"/>
    <w:rsid w:val="00FD5CC6"/>
    <w:rsid w:val="00FD67E5"/>
    <w:rsid w:val="00FF0A40"/>
    <w:rsid w:val="00FF4360"/>
    <w:rsid w:val="00FF78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
    <o:shapelayout v:ext="edit">
      <o:idmap v:ext="edit" data="1"/>
    </o:shapelayout>
  </w:shapeDefaults>
  <w:decimalSymbol w:val=","/>
  <w:listSeparator w:val=";"/>
  <w14:docId w14:val="34D3260D"/>
  <w15:chartTrackingRefBased/>
  <w15:docId w15:val="{69BF8989-F67D-4646-B8C5-5ECA5DE2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A4029F"/>
    <w:rPr>
      <w:sz w:val="24"/>
      <w:szCs w:val="24"/>
    </w:rPr>
  </w:style>
  <w:style w:type="paragraph" w:styleId="Ttulo1">
    <w:name w:val="heading 1"/>
    <w:basedOn w:val="Normal"/>
    <w:next w:val="Normal"/>
    <w:link w:val="Ttulo1Char"/>
    <w:qFormat/>
    <w:rsid w:val="00F16A09"/>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85573"/>
    <w:pPr>
      <w:keepNext/>
      <w:spacing w:before="240" w:after="60"/>
      <w:outlineLvl w:val="1"/>
    </w:pPr>
    <w:rPr>
      <w:rFonts w:ascii="Arial" w:hAnsi="Arial" w:cs="Arial"/>
      <w:b/>
      <w:bCs/>
      <w:i/>
      <w:iCs/>
      <w:sz w:val="28"/>
      <w:szCs w:val="28"/>
    </w:rPr>
  </w:style>
  <w:style w:type="paragraph" w:styleId="Ttulo3">
    <w:name w:val="heading 3"/>
    <w:basedOn w:val="Normal"/>
    <w:next w:val="Normal"/>
    <w:qFormat/>
    <w:pPr>
      <w:keepNext/>
      <w:jc w:val="center"/>
      <w:outlineLvl w:val="2"/>
    </w:pPr>
    <w:rPr>
      <w:rFonts w:ascii="Arial" w:hAnsi="Arial"/>
      <w14:shadow w14:blurRad="50800" w14:dist="38100" w14:dir="2700000" w14:sx="100000" w14:sy="100000" w14:kx="0" w14:ky="0" w14:algn="tl">
        <w14:srgbClr w14:val="000000">
          <w14:alpha w14:val="60000"/>
        </w14:srgbClr>
      </w14:shadow>
    </w:rPr>
  </w:style>
  <w:style w:type="paragraph" w:styleId="Ttulo4">
    <w:name w:val="heading 4"/>
    <w:basedOn w:val="Normal"/>
    <w:next w:val="Normal"/>
    <w:qFormat/>
    <w:pPr>
      <w:keepNext/>
      <w:outlineLvl w:val="3"/>
    </w:pPr>
    <w:rPr>
      <w:rFonts w:ascii="Arial" w:hAnsi="Arial"/>
      <w:b/>
      <w14:shadow w14:blurRad="50800" w14:dist="38100" w14:dir="2700000" w14:sx="100000" w14:sy="100000" w14:kx="0" w14:ky="0" w14:algn="tl">
        <w14:srgbClr w14:val="000000">
          <w14:alpha w14:val="60000"/>
        </w14:srgbClr>
      </w14:shadow>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medaempresa">
    <w:name w:val="Nome da empresa"/>
    <w:basedOn w:val="Corpodetexto"/>
    <w:pPr>
      <w:keepLines/>
      <w:framePr w:w="8640" w:h="1440" w:wrap="notBeside" w:vAnchor="page" w:hAnchor="margin" w:xAlign="center" w:y="889"/>
      <w:spacing w:after="40"/>
      <w:ind w:firstLine="0"/>
      <w:jc w:val="center"/>
    </w:pPr>
    <w:rPr>
      <w:caps/>
      <w:spacing w:val="75"/>
      <w:kern w:val="18"/>
    </w:rPr>
  </w:style>
  <w:style w:type="paragraph" w:styleId="Corpodetexto">
    <w:name w:val="Body Text"/>
    <w:basedOn w:val="Normal"/>
    <w:pPr>
      <w:spacing w:after="240" w:line="240" w:lineRule="atLeast"/>
      <w:ind w:firstLine="360"/>
      <w:jc w:val="both"/>
    </w:pPr>
    <w:rPr>
      <w:b/>
      <w:sz w:val="22"/>
      <w14:shadow w14:blurRad="50800" w14:dist="38100" w14:dir="2700000" w14:sx="100000" w14:sy="100000" w14:kx="0" w14:ky="0" w14:algn="tl">
        <w14:srgbClr w14:val="000000">
          <w14:alpha w14:val="60000"/>
        </w14:srgbClr>
      </w14:shadow>
    </w:rPr>
  </w:style>
  <w:style w:type="paragraph" w:customStyle="1" w:styleId="Capadottulo">
    <w:name w:val="Capa do título"/>
    <w:basedOn w:val="Basedettulo"/>
    <w:next w:val="Capadosubttulo"/>
    <w:pPr>
      <w:spacing w:after="240" w:line="720" w:lineRule="atLeast"/>
      <w:jc w:val="center"/>
    </w:pPr>
    <w:rPr>
      <w:caps/>
      <w:spacing w:val="65"/>
      <w:sz w:val="64"/>
    </w:rPr>
  </w:style>
  <w:style w:type="paragraph" w:customStyle="1" w:styleId="Basedettulo">
    <w:name w:val="Base de título"/>
    <w:basedOn w:val="Corpodetexto"/>
    <w:next w:val="Corpodetexto"/>
    <w:pPr>
      <w:keepNext/>
      <w:keepLines/>
      <w:spacing w:after="0"/>
      <w:ind w:firstLine="0"/>
      <w:jc w:val="left"/>
    </w:pPr>
    <w:rPr>
      <w:kern w:val="20"/>
    </w:rPr>
  </w:style>
  <w:style w:type="paragraph" w:customStyle="1" w:styleId="Capadosubttulo">
    <w:name w:val="Capa do subtítulo"/>
    <w:basedOn w:val="Capadottulo"/>
    <w:next w:val="Corpodetexto"/>
    <w:pPr>
      <w:spacing w:after="0" w:line="440" w:lineRule="atLeast"/>
    </w:pPr>
    <w:rPr>
      <w:caps w:val="0"/>
      <w:smallCaps/>
      <w:spacing w:val="30"/>
      <w:sz w:val="44"/>
    </w:rPr>
  </w:style>
  <w:style w:type="character" w:styleId="Refdenotaderodap">
    <w:name w:val="footnote reference"/>
    <w:semiHidden/>
    <w:rPr>
      <w:vertAlign w:val="superscript"/>
    </w:rPr>
  </w:style>
  <w:style w:type="paragraph" w:customStyle="1" w:styleId="Basedettulo2">
    <w:name w:val="Base de título 2"/>
    <w:basedOn w:val="Normal"/>
    <w:next w:val="Corpodetexto"/>
    <w:pPr>
      <w:keepNext/>
      <w:spacing w:before="360" w:after="120" w:line="360" w:lineRule="exact"/>
    </w:pPr>
    <w:rPr>
      <w:rFonts w:ascii="Arial Narrow" w:hAnsi="Arial Narrow"/>
      <w:sz w:val="28"/>
      <w14:shadow w14:blurRad="50800" w14:dist="38100" w14:dir="2700000" w14:sx="100000" w14:sy="100000" w14:kx="0" w14:ky="0" w14:algn="tl">
        <w14:srgbClr w14:val="000000">
          <w14:alpha w14:val="60000"/>
        </w14:srgbClr>
      </w14:shadow>
    </w:rPr>
  </w:style>
  <w:style w:type="paragraph" w:styleId="Textodenotaderodap">
    <w:name w:val="footnote text"/>
    <w:basedOn w:val="Basedenotaderodap"/>
    <w:link w:val="TextodenotaderodapChar"/>
    <w:semiHidden/>
  </w:style>
  <w:style w:type="paragraph" w:customStyle="1" w:styleId="Basedenotaderodap">
    <w:name w:val="Base de nota de rodapé"/>
    <w:basedOn w:val="Corpodetexto"/>
    <w:pPr>
      <w:keepLines/>
      <w:spacing w:line="200" w:lineRule="atLeast"/>
      <w:ind w:firstLine="0"/>
    </w:pPr>
    <w:rPr>
      <w:sz w:val="18"/>
    </w:rPr>
  </w:style>
  <w:style w:type="paragraph" w:styleId="Cabealho">
    <w:name w:val="header"/>
    <w:basedOn w:val="Basedecabealho"/>
    <w:pPr>
      <w:spacing w:after="480"/>
    </w:pPr>
  </w:style>
  <w:style w:type="paragraph" w:customStyle="1" w:styleId="Basedecabealho">
    <w:name w:val="Base de cabeçalho"/>
    <w:basedOn w:val="Corpodetexto"/>
    <w:pPr>
      <w:keepLines/>
      <w:tabs>
        <w:tab w:val="center" w:pos="4320"/>
        <w:tab w:val="right" w:pos="8640"/>
      </w:tabs>
      <w:spacing w:after="0"/>
      <w:ind w:firstLine="0"/>
      <w:jc w:val="center"/>
    </w:pPr>
    <w:rPr>
      <w:smallCaps/>
      <w:spacing w:val="15"/>
    </w:rPr>
  </w:style>
  <w:style w:type="character" w:styleId="Nmerodepgina">
    <w:name w:val="page number"/>
    <w:rPr>
      <w:sz w:val="24"/>
    </w:rPr>
  </w:style>
  <w:style w:type="paragraph" w:styleId="Rodap">
    <w:name w:val="footer"/>
    <w:basedOn w:val="Basedecabealho"/>
    <w:pPr>
      <w:tabs>
        <w:tab w:val="clear" w:pos="8640"/>
        <w:tab w:val="right" w:pos="9480"/>
      </w:tabs>
      <w:spacing w:before="600"/>
      <w:ind w:left="-840" w:right="-840"/>
    </w:pPr>
    <w:rPr>
      <w:sz w:val="24"/>
    </w:rPr>
  </w:style>
  <w:style w:type="paragraph" w:styleId="Sumrio1">
    <w:name w:val="toc 1"/>
    <w:basedOn w:val="Normal"/>
    <w:next w:val="Normal"/>
    <w:autoRedefine/>
    <w:semiHidden/>
    <w:pPr>
      <w:widowControl w:val="0"/>
      <w:spacing w:before="120" w:after="120"/>
    </w:pPr>
    <w:rPr>
      <w:caps/>
      <w:snapToGrid w:val="0"/>
      <w:color w:val="000000"/>
      <w:sz w:val="20"/>
      <w14:shadow w14:blurRad="50800" w14:dist="38100" w14:dir="2700000" w14:sx="100000" w14:sy="100000" w14:kx="0" w14:ky="0" w14:algn="tl">
        <w14:srgbClr w14:val="000000">
          <w14:alpha w14:val="60000"/>
        </w14:srgbClr>
      </w14:shadow>
    </w:rPr>
  </w:style>
  <w:style w:type="paragraph" w:styleId="Corpodetexto2">
    <w:name w:val="Body Text 2"/>
    <w:basedOn w:val="Normal"/>
    <w:pPr>
      <w:jc w:val="both"/>
    </w:pPr>
    <w:rPr>
      <w:rFonts w:ascii="Arial" w:hAnsi="Arial"/>
      <w:b/>
      <w14:shadow w14:blurRad="50800" w14:dist="38100" w14:dir="2700000" w14:sx="100000" w14:sy="100000" w14:kx="0" w14:ky="0" w14:algn="tl">
        <w14:srgbClr w14:val="000000">
          <w14:alpha w14:val="60000"/>
        </w14:srgbClr>
      </w14:shadow>
    </w:rPr>
  </w:style>
  <w:style w:type="paragraph" w:styleId="Corpodetexto3">
    <w:name w:val="Body Text 3"/>
    <w:aliases w:val="Tabela"/>
    <w:basedOn w:val="Normal"/>
    <w:pPr>
      <w:jc w:val="both"/>
    </w:pPr>
    <w:rPr>
      <w:rFonts w:ascii="Arial" w:hAnsi="Arial"/>
      <w:b/>
      <w:sz w:val="22"/>
    </w:rPr>
  </w:style>
  <w:style w:type="table" w:styleId="Tabelacomgrade">
    <w:name w:val="Table Grid"/>
    <w:basedOn w:val="Tabelanormal"/>
    <w:rsid w:val="004A2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2">
    <w:name w:val="toc 2"/>
    <w:basedOn w:val="Normal"/>
    <w:next w:val="Normal"/>
    <w:autoRedefine/>
    <w:semiHidden/>
    <w:rsid w:val="00C17E2D"/>
    <w:pPr>
      <w:ind w:left="240"/>
    </w:pPr>
  </w:style>
  <w:style w:type="paragraph" w:styleId="Sumrio3">
    <w:name w:val="toc 3"/>
    <w:basedOn w:val="Normal"/>
    <w:next w:val="Normal"/>
    <w:autoRedefine/>
    <w:semiHidden/>
    <w:rsid w:val="00C17E2D"/>
    <w:pPr>
      <w:ind w:left="480"/>
    </w:pPr>
  </w:style>
  <w:style w:type="character" w:styleId="Hyperlink">
    <w:name w:val="Hyperlink"/>
    <w:basedOn w:val="Fontepargpadro"/>
    <w:rsid w:val="00C17E2D"/>
    <w:rPr>
      <w:color w:val="0000FF"/>
      <w:u w:val="single"/>
    </w:rPr>
  </w:style>
  <w:style w:type="character" w:customStyle="1" w:styleId="Ttulo1Char">
    <w:name w:val="Título 1 Char"/>
    <w:basedOn w:val="Fontepargpadro"/>
    <w:link w:val="Ttulo1"/>
    <w:rsid w:val="00C17E2D"/>
    <w:rPr>
      <w:rFonts w:ascii="Arial" w:hAnsi="Arial" w:cs="Arial"/>
      <w:b/>
      <w:bCs/>
      <w:kern w:val="32"/>
      <w:sz w:val="32"/>
      <w:szCs w:val="32"/>
      <w:lang w:val="pt-BR" w:eastAsia="pt-BR" w:bidi="ar-SA"/>
    </w:rPr>
  </w:style>
  <w:style w:type="paragraph" w:styleId="PargrafodaLista">
    <w:name w:val="List Paragraph"/>
    <w:basedOn w:val="Normal"/>
    <w:uiPriority w:val="34"/>
    <w:qFormat/>
    <w:rsid w:val="00336BFC"/>
    <w:pPr>
      <w:ind w:left="720"/>
      <w:contextualSpacing/>
    </w:pPr>
  </w:style>
  <w:style w:type="character" w:customStyle="1" w:styleId="TextodenotaderodapChar">
    <w:name w:val="Texto de nota de rodapé Char"/>
    <w:basedOn w:val="Fontepargpadro"/>
    <w:link w:val="Textodenotaderodap"/>
    <w:uiPriority w:val="99"/>
    <w:semiHidden/>
    <w:locked/>
    <w:rsid w:val="006027B1"/>
    <w:rPr>
      <w:b/>
      <w:sz w:val="18"/>
      <w:szCs w:val="24"/>
      <w14:shadow w14:blurRad="50800" w14:dist="38100" w14:dir="2700000" w14:sx="100000" w14:sy="100000" w14:kx="0" w14:ky="0" w14:algn="tl">
        <w14:srgbClr w14:val="000000">
          <w14:alpha w14:val="60000"/>
        </w14:srgbClr>
      </w14:shadow>
    </w:rPr>
  </w:style>
  <w:style w:type="character" w:styleId="TextodoEspaoReservado">
    <w:name w:val="Placeholder Text"/>
    <w:basedOn w:val="Fontepargpadro"/>
    <w:uiPriority w:val="99"/>
    <w:semiHidden/>
    <w:rsid w:val="0057791C"/>
    <w:rPr>
      <w:color w:val="808080"/>
    </w:rPr>
  </w:style>
  <w:style w:type="paragraph" w:styleId="Recuodecorpodetexto">
    <w:name w:val="Body Text Indent"/>
    <w:basedOn w:val="Normal"/>
    <w:link w:val="RecuodecorpodetextoChar"/>
    <w:rsid w:val="009147ED"/>
    <w:pPr>
      <w:spacing w:after="120"/>
      <w:ind w:left="283"/>
    </w:pPr>
  </w:style>
  <w:style w:type="character" w:customStyle="1" w:styleId="RecuodecorpodetextoChar">
    <w:name w:val="Recuo de corpo de texto Char"/>
    <w:basedOn w:val="Fontepargpadro"/>
    <w:link w:val="Recuodecorpodetexto"/>
    <w:rsid w:val="009147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648">
      <w:bodyDiv w:val="1"/>
      <w:marLeft w:val="0"/>
      <w:marRight w:val="0"/>
      <w:marTop w:val="0"/>
      <w:marBottom w:val="0"/>
      <w:divBdr>
        <w:top w:val="none" w:sz="0" w:space="0" w:color="auto"/>
        <w:left w:val="none" w:sz="0" w:space="0" w:color="auto"/>
        <w:bottom w:val="none" w:sz="0" w:space="0" w:color="auto"/>
        <w:right w:val="none" w:sz="0" w:space="0" w:color="auto"/>
      </w:divBdr>
    </w:div>
    <w:div w:id="349264431">
      <w:bodyDiv w:val="1"/>
      <w:marLeft w:val="0"/>
      <w:marRight w:val="0"/>
      <w:marTop w:val="0"/>
      <w:marBottom w:val="0"/>
      <w:divBdr>
        <w:top w:val="none" w:sz="0" w:space="0" w:color="auto"/>
        <w:left w:val="none" w:sz="0" w:space="0" w:color="auto"/>
        <w:bottom w:val="none" w:sz="0" w:space="0" w:color="auto"/>
        <w:right w:val="none" w:sz="0" w:space="0" w:color="auto"/>
      </w:divBdr>
    </w:div>
    <w:div w:id="368379223">
      <w:bodyDiv w:val="1"/>
      <w:marLeft w:val="0"/>
      <w:marRight w:val="0"/>
      <w:marTop w:val="0"/>
      <w:marBottom w:val="0"/>
      <w:divBdr>
        <w:top w:val="none" w:sz="0" w:space="0" w:color="auto"/>
        <w:left w:val="none" w:sz="0" w:space="0" w:color="auto"/>
        <w:bottom w:val="none" w:sz="0" w:space="0" w:color="auto"/>
        <w:right w:val="none" w:sz="0" w:space="0" w:color="auto"/>
      </w:divBdr>
    </w:div>
    <w:div w:id="391316461">
      <w:bodyDiv w:val="1"/>
      <w:marLeft w:val="0"/>
      <w:marRight w:val="0"/>
      <w:marTop w:val="0"/>
      <w:marBottom w:val="0"/>
      <w:divBdr>
        <w:top w:val="none" w:sz="0" w:space="0" w:color="auto"/>
        <w:left w:val="none" w:sz="0" w:space="0" w:color="auto"/>
        <w:bottom w:val="none" w:sz="0" w:space="0" w:color="auto"/>
        <w:right w:val="none" w:sz="0" w:space="0" w:color="auto"/>
      </w:divBdr>
    </w:div>
    <w:div w:id="1089698992">
      <w:bodyDiv w:val="1"/>
      <w:marLeft w:val="0"/>
      <w:marRight w:val="0"/>
      <w:marTop w:val="0"/>
      <w:marBottom w:val="0"/>
      <w:divBdr>
        <w:top w:val="none" w:sz="0" w:space="0" w:color="auto"/>
        <w:left w:val="none" w:sz="0" w:space="0" w:color="auto"/>
        <w:bottom w:val="none" w:sz="0" w:space="0" w:color="auto"/>
        <w:right w:val="none" w:sz="0" w:space="0" w:color="auto"/>
      </w:divBdr>
    </w:div>
    <w:div w:id="1265576908">
      <w:bodyDiv w:val="1"/>
      <w:marLeft w:val="0"/>
      <w:marRight w:val="0"/>
      <w:marTop w:val="0"/>
      <w:marBottom w:val="0"/>
      <w:divBdr>
        <w:top w:val="none" w:sz="0" w:space="0" w:color="auto"/>
        <w:left w:val="none" w:sz="0" w:space="0" w:color="auto"/>
        <w:bottom w:val="none" w:sz="0" w:space="0" w:color="auto"/>
        <w:right w:val="none" w:sz="0" w:space="0" w:color="auto"/>
      </w:divBdr>
    </w:div>
    <w:div w:id="1682049075">
      <w:bodyDiv w:val="1"/>
      <w:marLeft w:val="0"/>
      <w:marRight w:val="0"/>
      <w:marTop w:val="0"/>
      <w:marBottom w:val="0"/>
      <w:divBdr>
        <w:top w:val="none" w:sz="0" w:space="0" w:color="auto"/>
        <w:left w:val="none" w:sz="0" w:space="0" w:color="auto"/>
        <w:bottom w:val="none" w:sz="0" w:space="0" w:color="auto"/>
        <w:right w:val="none" w:sz="0" w:space="0" w:color="auto"/>
      </w:divBdr>
    </w:div>
    <w:div w:id="186281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image" Target="media/image10.jpeg"/><Relationship Id="rId39" Type="http://schemas.openxmlformats.org/officeDocument/2006/relationships/image" Target="media/image21.wmf"/><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image" Target="media/image16.wmf"/><Relationship Id="rId42" Type="http://schemas.openxmlformats.org/officeDocument/2006/relationships/image" Target="media/image23.png"/><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oleObject" Target="embeddings/oleObject6.bin"/><Relationship Id="rId33" Type="http://schemas.openxmlformats.org/officeDocument/2006/relationships/image" Target="media/image15.wmf"/><Relationship Id="rId38" Type="http://schemas.openxmlformats.org/officeDocument/2006/relationships/image" Target="media/image20.wmf"/><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jpeg"/><Relationship Id="rId29" Type="http://schemas.openxmlformats.org/officeDocument/2006/relationships/oleObject" Target="embeddings/oleObject7.bin"/><Relationship Id="rId41"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9.wmf"/><Relationship Id="rId32" Type="http://schemas.openxmlformats.org/officeDocument/2006/relationships/image" Target="media/image14.wmf"/><Relationship Id="rId37" Type="http://schemas.openxmlformats.org/officeDocument/2006/relationships/image" Target="media/image19.wmf"/><Relationship Id="rId40" Type="http://schemas.openxmlformats.org/officeDocument/2006/relationships/image" Target="media/image22.wm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5.bin"/><Relationship Id="rId28" Type="http://schemas.openxmlformats.org/officeDocument/2006/relationships/image" Target="media/image12.wmf"/><Relationship Id="rId36" Type="http://schemas.openxmlformats.org/officeDocument/2006/relationships/image" Target="media/image18.wmf"/><Relationship Id="rId10" Type="http://schemas.openxmlformats.org/officeDocument/2006/relationships/footer" Target="footer1.xml"/><Relationship Id="rId19" Type="http://schemas.openxmlformats.org/officeDocument/2006/relationships/oleObject" Target="embeddings/oleObject4.bin"/><Relationship Id="rId31" Type="http://schemas.openxmlformats.org/officeDocument/2006/relationships/oleObject" Target="embeddings/oleObject8.bin"/><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wmf"/><Relationship Id="rId22" Type="http://schemas.openxmlformats.org/officeDocument/2006/relationships/image" Target="media/image8.wmf"/><Relationship Id="rId27" Type="http://schemas.openxmlformats.org/officeDocument/2006/relationships/image" Target="media/image11.jpeg"/><Relationship Id="rId30" Type="http://schemas.openxmlformats.org/officeDocument/2006/relationships/image" Target="media/image13.wmf"/><Relationship Id="rId35" Type="http://schemas.openxmlformats.org/officeDocument/2006/relationships/image" Target="media/image17.wmf"/><Relationship Id="rId43" Type="http://schemas.openxmlformats.org/officeDocument/2006/relationships/image" Target="media/image24.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DB42C-0918-4CB6-9A54-AF8D6BEE2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2759</TotalTime>
  <Pages>37</Pages>
  <Words>13117</Words>
  <Characters>70837</Characters>
  <Application>Microsoft Office Word</Application>
  <DocSecurity>0</DocSecurity>
  <Lines>590</Lines>
  <Paragraphs>167</Paragraphs>
  <ScaleCrop>false</ScaleCrop>
  <HeadingPairs>
    <vt:vector size="2" baseType="variant">
      <vt:variant>
        <vt:lpstr>Título</vt:lpstr>
      </vt:variant>
      <vt:variant>
        <vt:i4>1</vt:i4>
      </vt:variant>
    </vt:vector>
  </HeadingPairs>
  <TitlesOfParts>
    <vt:vector size="1" baseType="lpstr">
      <vt:lpstr>LCGUTIERREZ SERVIÇOS</vt:lpstr>
    </vt:vector>
  </TitlesOfParts>
  <Company> </Company>
  <LinksUpToDate>false</LinksUpToDate>
  <CharactersWithSpaces>83787</CharactersWithSpaces>
  <SharedDoc>false</SharedDoc>
  <HLinks>
    <vt:vector size="90" baseType="variant">
      <vt:variant>
        <vt:i4>1310774</vt:i4>
      </vt:variant>
      <vt:variant>
        <vt:i4>86</vt:i4>
      </vt:variant>
      <vt:variant>
        <vt:i4>0</vt:i4>
      </vt:variant>
      <vt:variant>
        <vt:i4>5</vt:i4>
      </vt:variant>
      <vt:variant>
        <vt:lpwstr/>
      </vt:variant>
      <vt:variant>
        <vt:lpwstr>_Toc192937646</vt:lpwstr>
      </vt:variant>
      <vt:variant>
        <vt:i4>1310774</vt:i4>
      </vt:variant>
      <vt:variant>
        <vt:i4>80</vt:i4>
      </vt:variant>
      <vt:variant>
        <vt:i4>0</vt:i4>
      </vt:variant>
      <vt:variant>
        <vt:i4>5</vt:i4>
      </vt:variant>
      <vt:variant>
        <vt:lpwstr/>
      </vt:variant>
      <vt:variant>
        <vt:lpwstr>_Toc192937645</vt:lpwstr>
      </vt:variant>
      <vt:variant>
        <vt:i4>1310774</vt:i4>
      </vt:variant>
      <vt:variant>
        <vt:i4>74</vt:i4>
      </vt:variant>
      <vt:variant>
        <vt:i4>0</vt:i4>
      </vt:variant>
      <vt:variant>
        <vt:i4>5</vt:i4>
      </vt:variant>
      <vt:variant>
        <vt:lpwstr/>
      </vt:variant>
      <vt:variant>
        <vt:lpwstr>_Toc192937644</vt:lpwstr>
      </vt:variant>
      <vt:variant>
        <vt:i4>1310774</vt:i4>
      </vt:variant>
      <vt:variant>
        <vt:i4>68</vt:i4>
      </vt:variant>
      <vt:variant>
        <vt:i4>0</vt:i4>
      </vt:variant>
      <vt:variant>
        <vt:i4>5</vt:i4>
      </vt:variant>
      <vt:variant>
        <vt:lpwstr/>
      </vt:variant>
      <vt:variant>
        <vt:lpwstr>_Toc192937643</vt:lpwstr>
      </vt:variant>
      <vt:variant>
        <vt:i4>1310774</vt:i4>
      </vt:variant>
      <vt:variant>
        <vt:i4>62</vt:i4>
      </vt:variant>
      <vt:variant>
        <vt:i4>0</vt:i4>
      </vt:variant>
      <vt:variant>
        <vt:i4>5</vt:i4>
      </vt:variant>
      <vt:variant>
        <vt:lpwstr/>
      </vt:variant>
      <vt:variant>
        <vt:lpwstr>_Toc192937642</vt:lpwstr>
      </vt:variant>
      <vt:variant>
        <vt:i4>1310774</vt:i4>
      </vt:variant>
      <vt:variant>
        <vt:i4>56</vt:i4>
      </vt:variant>
      <vt:variant>
        <vt:i4>0</vt:i4>
      </vt:variant>
      <vt:variant>
        <vt:i4>5</vt:i4>
      </vt:variant>
      <vt:variant>
        <vt:lpwstr/>
      </vt:variant>
      <vt:variant>
        <vt:lpwstr>_Toc192937641</vt:lpwstr>
      </vt:variant>
      <vt:variant>
        <vt:i4>1310774</vt:i4>
      </vt:variant>
      <vt:variant>
        <vt:i4>50</vt:i4>
      </vt:variant>
      <vt:variant>
        <vt:i4>0</vt:i4>
      </vt:variant>
      <vt:variant>
        <vt:i4>5</vt:i4>
      </vt:variant>
      <vt:variant>
        <vt:lpwstr/>
      </vt:variant>
      <vt:variant>
        <vt:lpwstr>_Toc192937640</vt:lpwstr>
      </vt:variant>
      <vt:variant>
        <vt:i4>1245238</vt:i4>
      </vt:variant>
      <vt:variant>
        <vt:i4>44</vt:i4>
      </vt:variant>
      <vt:variant>
        <vt:i4>0</vt:i4>
      </vt:variant>
      <vt:variant>
        <vt:i4>5</vt:i4>
      </vt:variant>
      <vt:variant>
        <vt:lpwstr/>
      </vt:variant>
      <vt:variant>
        <vt:lpwstr>_Toc192937639</vt:lpwstr>
      </vt:variant>
      <vt:variant>
        <vt:i4>1245238</vt:i4>
      </vt:variant>
      <vt:variant>
        <vt:i4>38</vt:i4>
      </vt:variant>
      <vt:variant>
        <vt:i4>0</vt:i4>
      </vt:variant>
      <vt:variant>
        <vt:i4>5</vt:i4>
      </vt:variant>
      <vt:variant>
        <vt:lpwstr/>
      </vt:variant>
      <vt:variant>
        <vt:lpwstr>_Toc192937638</vt:lpwstr>
      </vt:variant>
      <vt:variant>
        <vt:i4>1245238</vt:i4>
      </vt:variant>
      <vt:variant>
        <vt:i4>32</vt:i4>
      </vt:variant>
      <vt:variant>
        <vt:i4>0</vt:i4>
      </vt:variant>
      <vt:variant>
        <vt:i4>5</vt:i4>
      </vt:variant>
      <vt:variant>
        <vt:lpwstr/>
      </vt:variant>
      <vt:variant>
        <vt:lpwstr>_Toc192937637</vt:lpwstr>
      </vt:variant>
      <vt:variant>
        <vt:i4>1245238</vt:i4>
      </vt:variant>
      <vt:variant>
        <vt:i4>26</vt:i4>
      </vt:variant>
      <vt:variant>
        <vt:i4>0</vt:i4>
      </vt:variant>
      <vt:variant>
        <vt:i4>5</vt:i4>
      </vt:variant>
      <vt:variant>
        <vt:lpwstr/>
      </vt:variant>
      <vt:variant>
        <vt:lpwstr>_Toc192937636</vt:lpwstr>
      </vt:variant>
      <vt:variant>
        <vt:i4>1245238</vt:i4>
      </vt:variant>
      <vt:variant>
        <vt:i4>20</vt:i4>
      </vt:variant>
      <vt:variant>
        <vt:i4>0</vt:i4>
      </vt:variant>
      <vt:variant>
        <vt:i4>5</vt:i4>
      </vt:variant>
      <vt:variant>
        <vt:lpwstr/>
      </vt:variant>
      <vt:variant>
        <vt:lpwstr>_Toc192937635</vt:lpwstr>
      </vt:variant>
      <vt:variant>
        <vt:i4>1245238</vt:i4>
      </vt:variant>
      <vt:variant>
        <vt:i4>14</vt:i4>
      </vt:variant>
      <vt:variant>
        <vt:i4>0</vt:i4>
      </vt:variant>
      <vt:variant>
        <vt:i4>5</vt:i4>
      </vt:variant>
      <vt:variant>
        <vt:lpwstr/>
      </vt:variant>
      <vt:variant>
        <vt:lpwstr>_Toc192937634</vt:lpwstr>
      </vt:variant>
      <vt:variant>
        <vt:i4>1245238</vt:i4>
      </vt:variant>
      <vt:variant>
        <vt:i4>8</vt:i4>
      </vt:variant>
      <vt:variant>
        <vt:i4>0</vt:i4>
      </vt:variant>
      <vt:variant>
        <vt:i4>5</vt:i4>
      </vt:variant>
      <vt:variant>
        <vt:lpwstr/>
      </vt:variant>
      <vt:variant>
        <vt:lpwstr>_Toc192937633</vt:lpwstr>
      </vt:variant>
      <vt:variant>
        <vt:i4>1245238</vt:i4>
      </vt:variant>
      <vt:variant>
        <vt:i4>2</vt:i4>
      </vt:variant>
      <vt:variant>
        <vt:i4>0</vt:i4>
      </vt:variant>
      <vt:variant>
        <vt:i4>5</vt:i4>
      </vt:variant>
      <vt:variant>
        <vt:lpwstr/>
      </vt:variant>
      <vt:variant>
        <vt:lpwstr>_Toc192937632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LCGUTIERREZ SERVIÇOS</dc:title>
  <dc:subject/>
  <dc:creator>Luiz Claudio</dc:creator>
  <cp:keywords/>
  <dc:description/>
  <cp:lastModifiedBy>luizc</cp:lastModifiedBy>
  <cp:revision>30</cp:revision>
  <cp:lastPrinted>2000-09-12T16:04:00Z</cp:lastPrinted>
  <dcterms:created xsi:type="dcterms:W3CDTF">2019-08-13T19:02:00Z</dcterms:created>
  <dcterms:modified xsi:type="dcterms:W3CDTF">2019-08-16T02:50:00Z</dcterms:modified>
</cp:coreProperties>
</file>